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70" w:lineRule="atLeast"/>
        <w:jc w:val="center"/>
        <w:rPr>
          <w:rFonts w:hint="default" w:ascii="仿宋_GB2312" w:hAnsi="仿宋_GB2312" w:eastAsia="仿宋_GB2312" w:cs="仿宋_GB2312"/>
          <w:b w:val="0"/>
          <w:bCs w:val="0"/>
          <w:color w:val="126CB7"/>
          <w:sz w:val="48"/>
          <w:szCs w:val="48"/>
        </w:rPr>
      </w:pPr>
      <w:bookmarkStart w:id="0" w:name="OLE_LINK1"/>
      <w:r>
        <w:rPr>
          <w:rFonts w:ascii="仿宋_GB2312" w:hAnsi="仿宋_GB2312" w:eastAsia="仿宋_GB2312" w:cs="仿宋_GB2312"/>
          <w:b w:val="0"/>
          <w:bCs w:val="0"/>
          <w:color w:val="126CB7"/>
          <w:sz w:val="48"/>
          <w:szCs w:val="48"/>
        </w:rPr>
        <w:t>宜春市上高生态环境局2020年政府信息公开工作年度报告</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本报告依据《中华人民共和国政府信息公开条例》（国务院令第711号，以下简称新《条例》）和《国务院办公厅政府信息与政务公开办公室关于政府信息公开工作年度报告有关事项的通知》（国办公开办函〔2019〕60号）要求，由宜春市上高生态环境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fldChar w:fldCharType="begin"/>
      </w:r>
      <w:r>
        <w:instrText xml:space="preserve"> HYPERLINK "http://www.shanggao.gov.cn/" </w:instrText>
      </w:r>
      <w:r>
        <w:fldChar w:fldCharType="separate"/>
      </w:r>
      <w:r>
        <w:rPr>
          <w:rStyle w:val="6"/>
          <w:rFonts w:hint="eastAsia" w:ascii="仿宋_GB2312" w:hAnsi="仿宋_GB2312" w:eastAsia="仿宋_GB2312" w:cs="仿宋_GB2312"/>
          <w:color w:val="333333"/>
          <w:sz w:val="32"/>
          <w:szCs w:val="32"/>
          <w:u w:val="none"/>
          <w:shd w:val="clear" w:color="auto" w:fill="FFFFFF"/>
        </w:rPr>
        <w:t>http://www.shanggao.gov.cn</w:t>
      </w:r>
      <w:r>
        <w:rPr>
          <w:rStyle w:val="6"/>
          <w:rFonts w:hint="eastAsia" w:ascii="仿宋_GB2312" w:hAnsi="仿宋_GB2312" w:eastAsia="仿宋_GB2312" w:cs="仿宋_GB2312"/>
          <w:color w:val="333333"/>
          <w:sz w:val="32"/>
          <w:szCs w:val="32"/>
          <w:u w:val="none"/>
          <w:shd w:val="clear" w:color="auto" w:fill="FFFFFF"/>
        </w:rPr>
        <w:fldChar w:fldCharType="end"/>
      </w:r>
      <w:r>
        <w:rPr>
          <w:rFonts w:hint="eastAsia" w:ascii="仿宋_GB2312" w:hAnsi="仿宋_GB2312" w:eastAsia="仿宋_GB2312" w:cs="仿宋_GB2312"/>
          <w:color w:val="333333"/>
          <w:sz w:val="32"/>
          <w:szCs w:val="32"/>
          <w:shd w:val="clear" w:color="auto" w:fill="FFFFFF"/>
        </w:rPr>
        <w:t>）下载。如对本报告有任何疑问，请与宜春市上高生态环境局联系（地址：上高县锦阳大道12号，电话：2511680，邮编：336400）。</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color w:val="333333"/>
        </w:rPr>
      </w:pPr>
      <w:r>
        <w:rPr>
          <w:rFonts w:hint="eastAsia" w:ascii="仿宋_GB2312" w:hAnsi="仿宋_GB2312" w:eastAsia="仿宋_GB2312" w:cs="仿宋_GB2312"/>
          <w:b/>
          <w:bCs/>
          <w:color w:val="333333"/>
          <w:sz w:val="32"/>
          <w:szCs w:val="32"/>
          <w:shd w:val="clear" w:color="auto" w:fill="FFFFFF"/>
        </w:rPr>
        <w:t>一、总体情况</w:t>
      </w:r>
    </w:p>
    <w:p>
      <w:pPr>
        <w:pStyle w:val="3"/>
        <w:widowControl/>
        <w:shd w:val="clear" w:color="auto" w:fill="FFFFFF"/>
        <w:spacing w:before="300" w:beforeAutospacing="0" w:afterAutospacing="0" w:line="450" w:lineRule="atLeast"/>
        <w:ind w:firstLine="640"/>
        <w:jc w:val="both"/>
        <w:rPr>
          <w:rFonts w:ascii="仿宋_GB2312" w:hAnsi="仿宋_GB2312" w:eastAsia="仿宋_GB2312" w:cs="仿宋_GB2312"/>
          <w:color w:val="333333"/>
        </w:rPr>
      </w:pPr>
      <w:r>
        <w:rPr>
          <w:rFonts w:hint="eastAsia" w:ascii="仿宋_GB2312" w:hAnsi="仿宋_GB2312" w:eastAsia="仿宋_GB2312" w:cs="仿宋_GB2312"/>
          <w:color w:val="333333"/>
          <w:sz w:val="32"/>
          <w:szCs w:val="32"/>
          <w:shd w:val="clear" w:color="auto" w:fill="FFFFFF"/>
        </w:rPr>
        <w:t>2020年上高生态环境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中华人民共和国政府信息公开条例》和《国务院办公厅政府信息与政务公开办公室关于政府信息公开工作年度报告有关事项的通知》明确目标任务，紧紧围绕县委、县政府中心工作及社会群众关注关切，着力提升政府信息公开质量，推进拓宽政府信息公开渠道，不断增强政府信息公开实效。</w:t>
      </w:r>
    </w:p>
    <w:p>
      <w:pPr>
        <w:pStyle w:val="3"/>
        <w:widowControl/>
        <w:shd w:val="clear" w:color="auto" w:fill="FFFFFF"/>
        <w:spacing w:before="300" w:beforeAutospacing="0" w:afterAutospacing="0" w:line="450" w:lineRule="atLeast"/>
        <w:ind w:firstLine="643" w:firstLineChars="200"/>
        <w:jc w:val="both"/>
        <w:rPr>
          <w:rFonts w:ascii="仿宋_GB2312" w:hAnsi="仿宋_GB2312" w:eastAsia="仿宋_GB2312" w:cs="仿宋_GB2312"/>
          <w:color w:val="333333"/>
        </w:rPr>
      </w:pPr>
      <w:r>
        <w:rPr>
          <w:rFonts w:hint="eastAsia" w:ascii="仿宋_GB2312" w:hAnsi="仿宋_GB2312" w:eastAsia="仿宋_GB2312" w:cs="仿宋_GB2312"/>
          <w:b/>
          <w:bCs/>
          <w:color w:val="333333"/>
          <w:sz w:val="32"/>
          <w:szCs w:val="32"/>
          <w:shd w:val="clear" w:color="auto" w:fill="FFFFFF"/>
        </w:rPr>
        <w:t>（一）突出公开重点，深化主动公开</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明确工作制度。坚持“以公开为常态，不公开为例外”的政府信息公开原则，根据不同时期我局工作的重点，深入推行政府信息公开工作，切实提升主动公开实效</w:t>
      </w:r>
    </w:p>
    <w:p>
      <w:pPr>
        <w:pStyle w:val="3"/>
        <w:widowControl/>
        <w:numPr>
          <w:ilvl w:val="0"/>
          <w:numId w:val="1"/>
        </w:numPr>
        <w:shd w:val="clear" w:color="auto" w:fill="FFFFFF"/>
        <w:spacing w:beforeAutospacing="0" w:afterAutospacing="0" w:line="450" w:lineRule="atLeast"/>
        <w:ind w:firstLine="640"/>
        <w:jc w:val="both"/>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围绕公众关切，做好解读回应</w:t>
      </w:r>
    </w:p>
    <w:p>
      <w:pPr>
        <w:pStyle w:val="3"/>
        <w:widowControl/>
        <w:shd w:val="clear" w:color="auto" w:fill="FFFFFF"/>
        <w:spacing w:beforeAutospacing="0" w:afterAutospacing="0" w:line="450" w:lineRule="atLeast"/>
        <w:ind w:firstLine="640" w:firstLineChars="200"/>
        <w:jc w:val="both"/>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紧盯公众关心重点热点问题，及时回应关切。</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（三）完善工作流程，规范依申请公开</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完善依法申请公开制度和信息公开指南，健全受理、审查、处理、答复、寄送、归档等工作流程。按要求做好申请件的数据归纳、分析并及时在网上公布。</w:t>
      </w:r>
    </w:p>
    <w:p>
      <w:pPr>
        <w:pStyle w:val="3"/>
        <w:widowControl/>
        <w:shd w:val="clear" w:color="auto" w:fill="FFFFFF"/>
        <w:spacing w:beforeAutospacing="0" w:afterAutospacing="0" w:line="560" w:lineRule="atLeast"/>
        <w:ind w:firstLine="640"/>
        <w:rPr>
          <w:rFonts w:ascii="仿宋_GB2312" w:hAnsi="仿宋_GB2312" w:eastAsia="仿宋_GB2312" w:cs="仿宋_GB2312"/>
          <w:color w:val="333333"/>
          <w:sz w:val="21"/>
          <w:szCs w:val="21"/>
        </w:rPr>
      </w:pPr>
      <w:r>
        <w:rPr>
          <w:rFonts w:hint="eastAsia" w:ascii="仿宋_GB2312" w:hAnsi="仿宋_GB2312" w:eastAsia="仿宋_GB2312" w:cs="仿宋_GB2312"/>
          <w:b/>
          <w:bCs/>
          <w:color w:val="333333"/>
          <w:sz w:val="32"/>
          <w:szCs w:val="32"/>
          <w:shd w:val="clear" w:color="auto" w:fill="FFFFFF"/>
        </w:rPr>
        <w:t>（四）建立健全机制，强化政府信息管理</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健全组织机构。为加强政府信息公开工作的组织领导，因人事变动，及时调整了我局政府信息公开工作领导小组，</w:t>
      </w:r>
      <w:bookmarkStart w:id="1" w:name="_GoBack"/>
      <w:bookmarkEnd w:id="1"/>
      <w:r>
        <w:rPr>
          <w:rFonts w:hint="eastAsia" w:ascii="仿宋_GB2312" w:hAnsi="仿宋_GB2312" w:eastAsia="仿宋_GB2312" w:cs="仿宋_GB2312"/>
          <w:color w:val="333333"/>
          <w:sz w:val="32"/>
          <w:szCs w:val="32"/>
          <w:shd w:val="clear" w:color="auto" w:fill="FFFFFF"/>
        </w:rPr>
        <w:t>局长担任组长，其他领导班子成员为副组长。领导小组下设办公室，各股室负责人为成员，并落实办公室专人负责信息公开工作，确保重要信息不漏报、不迟报、不误报。 </w:t>
      </w:r>
    </w:p>
    <w:p>
      <w:pPr>
        <w:pStyle w:val="3"/>
        <w:widowControl/>
        <w:shd w:val="clear" w:color="auto" w:fill="FFFFFF"/>
        <w:spacing w:beforeAutospacing="0" w:afterAutospacing="0" w:line="560" w:lineRule="atLeast"/>
        <w:ind w:firstLine="640"/>
        <w:rPr>
          <w:rFonts w:ascii="仿宋_GB2312" w:hAnsi="仿宋_GB2312" w:eastAsia="仿宋_GB2312" w:cs="仿宋_GB2312"/>
          <w:color w:val="333333"/>
          <w:sz w:val="21"/>
          <w:szCs w:val="21"/>
        </w:rPr>
      </w:pPr>
      <w:r>
        <w:rPr>
          <w:rFonts w:hint="eastAsia" w:ascii="仿宋_GB2312" w:hAnsi="仿宋_GB2312" w:eastAsia="仿宋_GB2312" w:cs="仿宋_GB2312"/>
          <w:b/>
          <w:bCs/>
          <w:color w:val="333333"/>
          <w:sz w:val="32"/>
          <w:szCs w:val="32"/>
          <w:shd w:val="clear" w:color="auto" w:fill="FFFFFF"/>
        </w:rPr>
        <w:t>（五）加强运行管理，推进平台建设</w:t>
      </w:r>
    </w:p>
    <w:p>
      <w:pPr>
        <w:pStyle w:val="3"/>
        <w:widowControl/>
        <w:shd w:val="clear" w:color="auto" w:fill="FFFFFF"/>
        <w:spacing w:beforeAutospacing="0" w:afterAutospacing="0" w:line="560" w:lineRule="atLeast"/>
        <w:ind w:firstLine="64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拓展公开渠道。我局充分利用、发挥现有平台作用，提供优质社会服务，同时还利用广播、电视、新闻网站、微信微博公众号等公众媒体，及时更新污染防治工作的新动态。 </w:t>
      </w:r>
    </w:p>
    <w:p>
      <w:pPr>
        <w:pStyle w:val="3"/>
        <w:widowControl/>
        <w:shd w:val="clear" w:color="auto" w:fill="FFFFFF"/>
        <w:spacing w:beforeAutospacing="0" w:afterAutospacing="0" w:line="560" w:lineRule="atLeast"/>
        <w:ind w:firstLine="640"/>
        <w:rPr>
          <w:rFonts w:ascii="仿宋_GB2312" w:hAnsi="仿宋_GB2312" w:eastAsia="仿宋_GB2312" w:cs="仿宋_GB2312"/>
          <w:color w:val="333333"/>
          <w:sz w:val="21"/>
          <w:szCs w:val="21"/>
        </w:rPr>
      </w:pPr>
      <w:r>
        <w:rPr>
          <w:rFonts w:hint="eastAsia" w:ascii="仿宋_GB2312" w:hAnsi="仿宋_GB2312" w:eastAsia="仿宋_GB2312" w:cs="仿宋_GB2312"/>
          <w:b/>
          <w:bCs/>
          <w:color w:val="333333"/>
          <w:sz w:val="32"/>
          <w:szCs w:val="32"/>
          <w:shd w:val="clear" w:color="auto" w:fill="FFFFFF"/>
        </w:rPr>
        <w:t>（六）抓好工作落实，夯实监督保障</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努力提高工作透明度。并组织全体干部职工集中进行学习培训，使政府信息公开工作逐步走向规范化和科学化。 </w:t>
      </w:r>
    </w:p>
    <w:p>
      <w:pPr>
        <w:pStyle w:val="3"/>
        <w:widowControl/>
        <w:shd w:val="clear" w:color="auto" w:fill="FFFFFF"/>
        <w:spacing w:beforeAutospacing="0" w:afterAutospacing="0" w:line="450" w:lineRule="atLeast"/>
        <w:ind w:firstLine="640"/>
        <w:jc w:val="both"/>
        <w:rPr>
          <w:rFonts w:ascii="仿宋_GB2312" w:hAnsi="仿宋_GB2312" w:eastAsia="仿宋_GB2312" w:cs="仿宋_GB2312"/>
          <w:b/>
          <w:bCs/>
          <w:color w:val="333333"/>
          <w:sz w:val="32"/>
          <w:szCs w:val="32"/>
          <w:shd w:val="clear" w:color="auto" w:fill="FFFFFF"/>
        </w:rPr>
      </w:pPr>
    </w:p>
    <w:p>
      <w:pPr>
        <w:pStyle w:val="3"/>
        <w:widowControl/>
        <w:shd w:val="clear" w:color="auto" w:fill="FFFFFF"/>
        <w:spacing w:beforeAutospacing="0" w:afterAutospacing="0" w:line="540" w:lineRule="atLeast"/>
        <w:ind w:firstLine="480"/>
        <w:jc w:val="both"/>
        <w:rPr>
          <w:rFonts w:ascii="仿宋_GB2312" w:hAnsi="仿宋_GB2312" w:eastAsia="仿宋_GB2312" w:cs="仿宋_GB2312"/>
          <w:color w:val="333333"/>
          <w:sz w:val="21"/>
          <w:szCs w:val="21"/>
        </w:rPr>
      </w:pPr>
      <w:r>
        <w:rPr>
          <w:rFonts w:hint="eastAsia" w:ascii="仿宋_GB2312" w:hAnsi="仿宋_GB2312" w:eastAsia="仿宋_GB2312" w:cs="仿宋_GB2312"/>
          <w:b/>
          <w:bCs/>
          <w:color w:val="333333"/>
          <w:sz w:val="32"/>
          <w:szCs w:val="32"/>
          <w:shd w:val="clear" w:color="auto" w:fill="FFFFFF"/>
        </w:rPr>
        <w:t>二、主动公开政府信息情况</w:t>
      </w:r>
    </w:p>
    <w:tbl>
      <w:tblPr>
        <w:tblStyle w:val="4"/>
        <w:tblW w:w="84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69"/>
        <w:gridCol w:w="36"/>
        <w:gridCol w:w="2462"/>
        <w:gridCol w:w="2026"/>
        <w:gridCol w:w="22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849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66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信息内容</w:t>
            </w:r>
          </w:p>
        </w:tc>
        <w:tc>
          <w:tcPr>
            <w:tcW w:w="2498"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本年新制作数量</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本年新公开数量</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规    章</w:t>
            </w:r>
          </w:p>
        </w:tc>
        <w:tc>
          <w:tcPr>
            <w:tcW w:w="2498"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规范性文件</w:t>
            </w:r>
          </w:p>
        </w:tc>
        <w:tc>
          <w:tcPr>
            <w:tcW w:w="2498"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信息内容</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上一年项目数量</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本年增/减</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行政许可</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128</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增33</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161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其他对外管理服务事项</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65</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增18</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信息内容</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上一年项目数量</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本年增/减</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行政处罚</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10</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增23</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行政强制</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2026"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229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信息内容</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上一年项目数量</w:t>
            </w:r>
          </w:p>
        </w:tc>
        <w:tc>
          <w:tcPr>
            <w:tcW w:w="4323"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行政事业性收费</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4323"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90"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信息内容</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采购项目数量</w:t>
            </w:r>
          </w:p>
        </w:tc>
        <w:tc>
          <w:tcPr>
            <w:tcW w:w="4323"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5"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政府集中采购</w:t>
            </w:r>
          </w:p>
        </w:tc>
        <w:tc>
          <w:tcPr>
            <w:tcW w:w="2462"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17</w:t>
            </w:r>
          </w:p>
          <w:p>
            <w:pPr>
              <w:pStyle w:val="3"/>
              <w:widowControl/>
              <w:spacing w:beforeAutospacing="0" w:afterAutospacing="0" w:line="460" w:lineRule="atLeast"/>
              <w:ind w:firstLine="480"/>
              <w:jc w:val="both"/>
              <w:rPr>
                <w:rFonts w:ascii="仿宋_GB2312" w:hAnsi="仿宋_GB2312" w:eastAsia="仿宋_GB2312" w:cs="仿宋_GB2312"/>
                <w:sz w:val="21"/>
                <w:szCs w:val="21"/>
              </w:rPr>
            </w:pPr>
            <w:r>
              <w:rPr>
                <w:rFonts w:hint="eastAsia" w:ascii="仿宋_GB2312" w:hAnsi="仿宋_GB2312" w:eastAsia="仿宋_GB2312" w:cs="仿宋_GB2312"/>
                <w:color w:val="333333"/>
              </w:rPr>
              <w:t> </w:t>
            </w:r>
          </w:p>
        </w:tc>
        <w:tc>
          <w:tcPr>
            <w:tcW w:w="4323"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6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1014.87688万元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669" w:type="dxa"/>
            <w:tcBorders>
              <w:top w:val="nil"/>
              <w:left w:val="nil"/>
              <w:bottom w:val="nil"/>
              <w:right w:val="nil"/>
            </w:tcBorders>
            <w:shd w:val="clear" w:color="auto" w:fill="FFFFFF"/>
            <w:vAlign w:val="center"/>
          </w:tcPr>
          <w:p>
            <w:pPr>
              <w:rPr>
                <w:rFonts w:ascii="仿宋_GB2312" w:hAnsi="仿宋_GB2312" w:eastAsia="仿宋_GB2312" w:cs="仿宋_GB2312"/>
                <w:color w:val="333333"/>
                <w:szCs w:val="21"/>
              </w:rPr>
            </w:pPr>
          </w:p>
        </w:tc>
        <w:tc>
          <w:tcPr>
            <w:tcW w:w="36" w:type="dxa"/>
            <w:tcBorders>
              <w:top w:val="nil"/>
              <w:left w:val="nil"/>
              <w:bottom w:val="nil"/>
              <w:right w:val="nil"/>
            </w:tcBorders>
            <w:shd w:val="clear" w:color="auto" w:fill="FFFFFF"/>
            <w:vAlign w:val="center"/>
          </w:tcPr>
          <w:p>
            <w:pPr>
              <w:rPr>
                <w:rFonts w:ascii="仿宋_GB2312" w:hAnsi="仿宋_GB2312" w:eastAsia="仿宋_GB2312" w:cs="仿宋_GB2312"/>
                <w:color w:val="333333"/>
                <w:szCs w:val="21"/>
              </w:rPr>
            </w:pPr>
          </w:p>
        </w:tc>
        <w:tc>
          <w:tcPr>
            <w:tcW w:w="2462" w:type="dxa"/>
            <w:tcBorders>
              <w:top w:val="nil"/>
              <w:left w:val="nil"/>
              <w:bottom w:val="nil"/>
              <w:right w:val="nil"/>
            </w:tcBorders>
            <w:shd w:val="clear" w:color="auto" w:fill="FFFFFF"/>
            <w:vAlign w:val="center"/>
          </w:tcPr>
          <w:p>
            <w:pPr>
              <w:rPr>
                <w:rFonts w:ascii="仿宋_GB2312" w:hAnsi="仿宋_GB2312" w:eastAsia="仿宋_GB2312" w:cs="仿宋_GB2312"/>
                <w:color w:val="333333"/>
                <w:szCs w:val="21"/>
              </w:rPr>
            </w:pPr>
          </w:p>
        </w:tc>
        <w:tc>
          <w:tcPr>
            <w:tcW w:w="2026" w:type="dxa"/>
            <w:tcBorders>
              <w:top w:val="nil"/>
              <w:left w:val="nil"/>
              <w:bottom w:val="nil"/>
              <w:right w:val="nil"/>
            </w:tcBorders>
            <w:shd w:val="clear" w:color="auto" w:fill="FFFFFF"/>
            <w:vAlign w:val="center"/>
          </w:tcPr>
          <w:p>
            <w:pPr>
              <w:rPr>
                <w:rFonts w:ascii="仿宋_GB2312" w:hAnsi="仿宋_GB2312" w:eastAsia="仿宋_GB2312" w:cs="仿宋_GB2312"/>
                <w:color w:val="333333"/>
                <w:szCs w:val="21"/>
              </w:rPr>
            </w:pPr>
          </w:p>
        </w:tc>
        <w:tc>
          <w:tcPr>
            <w:tcW w:w="2297" w:type="dxa"/>
            <w:tcBorders>
              <w:top w:val="nil"/>
              <w:left w:val="nil"/>
              <w:bottom w:val="nil"/>
              <w:right w:val="nil"/>
            </w:tcBorders>
            <w:shd w:val="clear" w:color="auto" w:fill="FFFFFF"/>
            <w:vAlign w:val="center"/>
          </w:tcPr>
          <w:p>
            <w:pPr>
              <w:rPr>
                <w:rFonts w:ascii="仿宋_GB2312" w:hAnsi="仿宋_GB2312" w:eastAsia="仿宋_GB2312" w:cs="仿宋_GB2312"/>
                <w:color w:val="333333"/>
                <w:szCs w:val="21"/>
              </w:rPr>
            </w:pPr>
          </w:p>
        </w:tc>
      </w:tr>
    </w:tbl>
    <w:p>
      <w:pPr>
        <w:pStyle w:val="3"/>
        <w:widowControl/>
        <w:shd w:val="clear" w:color="auto" w:fill="FFFFFF"/>
        <w:spacing w:beforeAutospacing="0" w:afterAutospacing="0" w:line="540" w:lineRule="atLeast"/>
        <w:ind w:firstLine="480"/>
        <w:jc w:val="both"/>
        <w:rPr>
          <w:rFonts w:ascii="仿宋_GB2312" w:hAnsi="仿宋_GB2312" w:eastAsia="仿宋_GB2312" w:cs="仿宋_GB2312"/>
          <w:color w:val="333333"/>
          <w:sz w:val="21"/>
          <w:szCs w:val="21"/>
        </w:rPr>
      </w:pPr>
      <w:r>
        <w:rPr>
          <w:rFonts w:hint="eastAsia" w:ascii="仿宋_GB2312" w:hAnsi="仿宋_GB2312" w:eastAsia="仿宋_GB2312" w:cs="仿宋_GB2312"/>
          <w:b/>
          <w:bCs/>
          <w:color w:val="333333"/>
          <w:sz w:val="32"/>
          <w:szCs w:val="32"/>
          <w:shd w:val="clear" w:color="auto" w:fill="FFFFFF"/>
        </w:rPr>
        <w:t> </w:t>
      </w:r>
    </w:p>
    <w:p>
      <w:pPr>
        <w:pStyle w:val="3"/>
        <w:widowControl/>
        <w:shd w:val="clear" w:color="auto" w:fill="FFFFFF"/>
        <w:spacing w:beforeAutospacing="0" w:afterAutospacing="0" w:line="540" w:lineRule="atLeast"/>
        <w:ind w:firstLine="480"/>
        <w:jc w:val="both"/>
        <w:rPr>
          <w:rFonts w:ascii="仿宋_GB2312" w:hAnsi="仿宋_GB2312" w:eastAsia="仿宋_GB2312" w:cs="仿宋_GB2312"/>
          <w:color w:val="333333"/>
          <w:sz w:val="21"/>
          <w:szCs w:val="21"/>
        </w:rPr>
      </w:pPr>
      <w:r>
        <w:rPr>
          <w:rFonts w:hint="eastAsia" w:ascii="仿宋_GB2312" w:hAnsi="仿宋_GB2312" w:eastAsia="仿宋_GB2312" w:cs="仿宋_GB2312"/>
          <w:b/>
          <w:bCs/>
          <w:color w:val="333333"/>
          <w:sz w:val="32"/>
          <w:szCs w:val="32"/>
          <w:shd w:val="clear" w:color="auto" w:fill="FFFFFF"/>
        </w:rPr>
        <w:t>三、收到和处理政府信息公开申请情况</w:t>
      </w:r>
    </w:p>
    <w:tbl>
      <w:tblPr>
        <w:tblStyle w:val="4"/>
        <w:tblW w:w="904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76"/>
        <w:gridCol w:w="1266"/>
        <w:gridCol w:w="886"/>
        <w:gridCol w:w="886"/>
        <w:gridCol w:w="886"/>
        <w:gridCol w:w="886"/>
        <w:gridCol w:w="886"/>
        <w:gridCol w:w="886"/>
        <w:gridCol w:w="886"/>
        <w:gridCol w:w="8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81"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（本列数据的勾稽关系为：第一项加第二项之和，等于第三项加第四项之和）</w:t>
            </w:r>
          </w:p>
        </w:tc>
        <w:tc>
          <w:tcPr>
            <w:tcW w:w="6865" w:type="dxa"/>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81"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98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自然人</w:t>
            </w:r>
          </w:p>
        </w:tc>
        <w:tc>
          <w:tcPr>
            <w:tcW w:w="4904"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法人或其他组织</w:t>
            </w:r>
          </w:p>
        </w:tc>
        <w:tc>
          <w:tcPr>
            <w:tcW w:w="98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55" w:hRule="atLeast"/>
        </w:trPr>
        <w:tc>
          <w:tcPr>
            <w:tcW w:w="2181"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98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商业企业</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科研机构</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社会公益组织</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法律服务机构</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其他</w:t>
            </w:r>
          </w:p>
        </w:tc>
        <w:tc>
          <w:tcPr>
            <w:tcW w:w="98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81"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一、本年新收政府信息公开申请数量</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81"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二、上年结转政府信息公开申请数量</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三、本年度办理结果</w:t>
            </w:r>
          </w:p>
        </w:tc>
        <w:tc>
          <w:tcPr>
            <w:tcW w:w="1454"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（一）予以公开</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1454"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（二）部分公开（区分处理的，只计这一情形，不计其他情形）</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restart"/>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（三）不予公开</w:t>
            </w:r>
          </w:p>
        </w:tc>
        <w:tc>
          <w:tcPr>
            <w:tcW w:w="72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1.属于国家秘密</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2.其他法律行政法规禁止公开</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3.危及“三安全一稳定”</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4.保护第三方合法权益</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5.属于三类内部事务信息</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6.属于四类过程性信息</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7.属于行政执法案卷</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8.属于行政查询事项</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（四）无法提供</w:t>
            </w: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1.本机关不掌握相关政府信息</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2.没有现成信息需要另行制作</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3.补正后申请内容仍不明确</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（五）不予处理</w:t>
            </w: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1.信访举报投诉类申请</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2.重复申请</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3.要求提供公开出版物</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4.无正当理由大量反复申请</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727"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72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5.要求行政机关确认或重新出具已获取信息</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1454"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（六）其他处理</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c>
          <w:tcPr>
            <w:tcW w:w="98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450" w:lineRule="atLeast"/>
              <w:ind w:firstLine="480"/>
              <w:jc w:val="center"/>
              <w:textAlignment w:val="center"/>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2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仿宋_GB2312" w:hAnsi="仿宋_GB2312" w:eastAsia="仿宋_GB2312" w:cs="仿宋_GB2312"/>
                <w:color w:val="333333"/>
                <w:szCs w:val="21"/>
              </w:rPr>
            </w:pPr>
          </w:p>
        </w:tc>
        <w:tc>
          <w:tcPr>
            <w:tcW w:w="1454" w:type="dxa"/>
            <w:gridSpan w:val="2"/>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（七）总计</w:t>
            </w:r>
          </w:p>
        </w:tc>
        <w:tc>
          <w:tcPr>
            <w:tcW w:w="980"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81"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四、结转下年度继续办理</w:t>
            </w:r>
          </w:p>
        </w:tc>
        <w:tc>
          <w:tcPr>
            <w:tcW w:w="980"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0"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sz w:val="19"/>
                <w:szCs w:val="19"/>
              </w:rPr>
              <w:t> 0</w:t>
            </w:r>
          </w:p>
        </w:tc>
        <w:tc>
          <w:tcPr>
            <w:tcW w:w="981"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450" w:lineRule="atLeast"/>
              <w:ind w:firstLine="480"/>
              <w:jc w:val="right"/>
              <w:textAlignment w:val="top"/>
              <w:rPr>
                <w:rFonts w:ascii="仿宋_GB2312" w:hAnsi="仿宋_GB2312" w:eastAsia="仿宋_GB2312" w:cs="仿宋_GB2312"/>
                <w:sz w:val="21"/>
                <w:szCs w:val="21"/>
              </w:rPr>
            </w:pPr>
            <w:r>
              <w:rPr>
                <w:rFonts w:hint="eastAsia" w:ascii="仿宋_GB2312" w:hAnsi="仿宋_GB2312" w:eastAsia="仿宋_GB2312" w:cs="仿宋_GB2312"/>
                <w:color w:val="333333"/>
              </w:rPr>
              <w:t>0</w:t>
            </w:r>
          </w:p>
        </w:tc>
      </w:tr>
    </w:tbl>
    <w:p>
      <w:pPr>
        <w:widowControl/>
        <w:jc w:val="left"/>
        <w:rPr>
          <w:rFonts w:ascii="仿宋_GB2312" w:hAnsi="仿宋_GB2312" w:eastAsia="仿宋_GB2312" w:cs="仿宋_GB2312"/>
        </w:rPr>
      </w:pPr>
    </w:p>
    <w:p>
      <w:pPr>
        <w:pStyle w:val="3"/>
        <w:widowControl/>
        <w:shd w:val="clear" w:color="auto" w:fill="FFFFFF"/>
        <w:spacing w:beforeAutospacing="0" w:afterAutospacing="0" w:line="540" w:lineRule="atLeast"/>
        <w:ind w:left="640" w:firstLine="48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21"/>
          <w:szCs w:val="21"/>
          <w:shd w:val="clear" w:color="auto" w:fill="FFFFFF"/>
        </w:rPr>
        <w:t> </w:t>
      </w:r>
    </w:p>
    <w:p>
      <w:pPr>
        <w:pStyle w:val="3"/>
        <w:widowControl/>
        <w:shd w:val="clear" w:color="auto" w:fill="FFFFFF"/>
        <w:spacing w:beforeAutospacing="0" w:afterAutospacing="0" w:line="540" w:lineRule="atLeast"/>
        <w:ind w:firstLine="480"/>
        <w:jc w:val="both"/>
        <w:rPr>
          <w:rFonts w:ascii="仿宋_GB2312" w:hAnsi="仿宋_GB2312" w:eastAsia="仿宋_GB2312" w:cs="仿宋_GB2312"/>
          <w:b/>
          <w:bCs/>
          <w:color w:val="333333"/>
          <w:sz w:val="21"/>
          <w:szCs w:val="21"/>
        </w:rPr>
      </w:pPr>
      <w:r>
        <w:rPr>
          <w:rFonts w:hint="eastAsia" w:ascii="仿宋_GB2312" w:hAnsi="仿宋_GB2312" w:eastAsia="仿宋_GB2312" w:cs="仿宋_GB2312"/>
          <w:b/>
          <w:bCs/>
          <w:color w:val="333333"/>
          <w:sz w:val="32"/>
          <w:szCs w:val="32"/>
          <w:shd w:val="clear" w:color="auto" w:fill="FFFFFF"/>
        </w:rPr>
        <w:t>四、政府信息公开行政复议、行政诉讼情况</w:t>
      </w:r>
    </w:p>
    <w:tbl>
      <w:tblPr>
        <w:tblStyle w:val="4"/>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840"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21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行政复议</w:t>
            </w:r>
          </w:p>
        </w:tc>
        <w:tc>
          <w:tcPr>
            <w:tcW w:w="5680" w:type="dxa"/>
            <w:gridSpan w:val="10"/>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21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68"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结果维护</w:t>
            </w:r>
          </w:p>
        </w:tc>
        <w:tc>
          <w:tcPr>
            <w:tcW w:w="56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结果纠正</w:t>
            </w:r>
          </w:p>
        </w:tc>
        <w:tc>
          <w:tcPr>
            <w:tcW w:w="56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其他结果</w:t>
            </w:r>
          </w:p>
        </w:tc>
        <w:tc>
          <w:tcPr>
            <w:tcW w:w="56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尚未审结</w:t>
            </w:r>
          </w:p>
        </w:tc>
        <w:tc>
          <w:tcPr>
            <w:tcW w:w="56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总计</w:t>
            </w:r>
          </w:p>
        </w:tc>
        <w:tc>
          <w:tcPr>
            <w:tcW w:w="28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shd w:val="clear" w:color="auto" w:fill="FFFFFF"/>
              </w:rPr>
              <w:t>未经复议直接起诉</w:t>
            </w:r>
          </w:p>
        </w:tc>
        <w:tc>
          <w:tcPr>
            <w:tcW w:w="2840" w:type="dxa"/>
            <w:gridSpan w:val="5"/>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68"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56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56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56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56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仿宋_GB2312" w:hAnsi="仿宋_GB2312" w:eastAsia="仿宋_GB2312" w:cs="仿宋_GB2312"/>
                <w:color w:val="333333"/>
                <w:szCs w:val="21"/>
              </w:rPr>
            </w:pP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结果维护</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结果纠正</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其他结果</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尚未审结</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总计</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结果维护</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结果纠正</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其他结果</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尚未审结</w:t>
            </w:r>
          </w:p>
        </w:tc>
        <w:tc>
          <w:tcPr>
            <w:tcW w:w="56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68"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c>
          <w:tcPr>
            <w:tcW w:w="568" w:type="dxa"/>
            <w:tcBorders>
              <w:top w:val="nil"/>
              <w:left w:val="nil"/>
              <w:bottom w:val="single" w:color="auto" w:sz="8" w:space="0"/>
              <w:right w:val="single" w:color="auto" w:sz="8" w:space="0"/>
            </w:tcBorders>
            <w:shd w:val="clear" w:color="auto" w:fill="FFFFFF"/>
            <w:tcMar>
              <w:left w:w="108" w:type="dxa"/>
              <w:right w:w="108" w:type="dxa"/>
            </w:tcMar>
          </w:tcPr>
          <w:p>
            <w:pPr>
              <w:pStyle w:val="3"/>
              <w:widowControl/>
              <w:spacing w:beforeAutospacing="0" w:afterAutospacing="0" w:line="540" w:lineRule="atLeast"/>
              <w:ind w:firstLine="480"/>
              <w:jc w:val="center"/>
              <w:rPr>
                <w:rFonts w:ascii="仿宋_GB2312" w:hAnsi="仿宋_GB2312" w:eastAsia="仿宋_GB2312" w:cs="仿宋_GB2312"/>
                <w:sz w:val="21"/>
                <w:szCs w:val="21"/>
              </w:rPr>
            </w:pPr>
            <w:r>
              <w:rPr>
                <w:rFonts w:hint="eastAsia" w:ascii="仿宋_GB2312" w:hAnsi="仿宋_GB2312" w:eastAsia="仿宋_GB2312" w:cs="仿宋_GB2312"/>
                <w:color w:val="333333"/>
              </w:rPr>
              <w:t>0</w:t>
            </w:r>
          </w:p>
        </w:tc>
      </w:tr>
    </w:tbl>
    <w:p>
      <w:pPr>
        <w:pStyle w:val="3"/>
        <w:widowControl/>
        <w:shd w:val="clear" w:color="auto" w:fill="FFFFFF"/>
        <w:spacing w:beforeAutospacing="0" w:afterAutospacing="0" w:line="450" w:lineRule="atLeast"/>
        <w:ind w:firstLine="480"/>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 </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b/>
          <w:bCs/>
          <w:color w:val="333333"/>
        </w:rPr>
      </w:pPr>
      <w:r>
        <w:rPr>
          <w:rFonts w:hint="eastAsia" w:ascii="仿宋_GB2312" w:hAnsi="仿宋_GB2312" w:eastAsia="仿宋_GB2312" w:cs="仿宋_GB2312"/>
          <w:b/>
          <w:bCs/>
          <w:color w:val="333333"/>
          <w:sz w:val="32"/>
          <w:szCs w:val="32"/>
          <w:shd w:val="clear" w:color="auto" w:fill="FFFFFF"/>
        </w:rPr>
        <w:t>五、存在的主要问题及改进情况</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（一）工作中存在的主要问题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一是各科室依法公开、主动公开意识有待进一步加强。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二是政府信息主动公开的深度还有待进一步拓展。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三是长效工作机制建设需要进一步完善。公开信息在更新维护、文件报备、监督约束等方面还存在着工作机制不健全的问题，需要进一步完善。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（二）改进措施及2021年工作完善计划。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局政府信息公开工作扎实、有序推进。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二是加大普及宣传，充分利用电视、网站等宣传媒体，加大力度宣传政府信息公开，扩大政府信息公开工作的知晓率。 </w:t>
      </w:r>
    </w:p>
    <w:p>
      <w:pPr>
        <w:pStyle w:val="3"/>
        <w:widowControl/>
        <w:shd w:val="clear" w:color="auto" w:fill="FFFFFF"/>
        <w:spacing w:beforeAutospacing="0" w:afterAutospacing="0" w:line="540" w:lineRule="atLeast"/>
        <w:ind w:firstLine="645"/>
        <w:jc w:val="both"/>
        <w:rPr>
          <w:rFonts w:ascii="仿宋_GB2312" w:hAnsi="仿宋_GB2312" w:eastAsia="仿宋_GB2312" w:cs="仿宋_GB2312"/>
          <w:color w:val="333333"/>
          <w:sz w:val="21"/>
          <w:szCs w:val="21"/>
        </w:rPr>
      </w:pPr>
      <w:r>
        <w:rPr>
          <w:rFonts w:hint="eastAsia" w:ascii="仿宋_GB2312" w:hAnsi="仿宋_GB2312" w:eastAsia="仿宋_GB2312" w:cs="仿宋_GB2312"/>
          <w:color w:val="333333"/>
          <w:sz w:val="32"/>
          <w:szCs w:val="32"/>
          <w:shd w:val="clear" w:color="auto" w:fill="FFFFFF"/>
        </w:rPr>
        <w:t>三是围绕中心工作，公开公众普遍关注的热点难点问题。以政府中心工作为主轴，以公众关心的热点、难点问题为导向，全面、及时地公开政府信息，确保政府信息公开工作的针对性和实效性。</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b/>
          <w:bCs/>
          <w:color w:val="333333"/>
        </w:rPr>
      </w:pPr>
      <w:r>
        <w:rPr>
          <w:rFonts w:hint="eastAsia" w:ascii="仿宋_GB2312" w:hAnsi="仿宋_GB2312" w:eastAsia="仿宋_GB2312" w:cs="仿宋_GB2312"/>
          <w:b/>
          <w:bCs/>
          <w:color w:val="333333"/>
          <w:sz w:val="32"/>
          <w:szCs w:val="32"/>
          <w:shd w:val="clear" w:color="auto" w:fill="FFFFFF"/>
        </w:rPr>
        <w:t>六、其他需要报告的事项</w:t>
      </w:r>
    </w:p>
    <w:p>
      <w:pPr>
        <w:pStyle w:val="3"/>
        <w:widowControl/>
        <w:shd w:val="clear" w:color="auto" w:fill="FFFFFF"/>
        <w:spacing w:before="300" w:beforeAutospacing="0" w:afterAutospacing="0" w:line="450" w:lineRule="atLeast"/>
        <w:ind w:firstLine="420"/>
        <w:jc w:val="both"/>
        <w:rPr>
          <w:rFonts w:ascii="仿宋_GB2312" w:hAnsi="仿宋_GB2312" w:eastAsia="仿宋_GB2312" w:cs="仿宋_GB2312"/>
          <w:color w:val="333333"/>
        </w:rPr>
      </w:pPr>
      <w:r>
        <w:rPr>
          <w:rFonts w:hint="eastAsia" w:ascii="仿宋_GB2312" w:hAnsi="仿宋_GB2312" w:eastAsia="仿宋_GB2312" w:cs="仿宋_GB2312"/>
          <w:color w:val="333333"/>
          <w:sz w:val="32"/>
          <w:szCs w:val="32"/>
          <w:shd w:val="clear" w:color="auto" w:fill="FFFFFF"/>
        </w:rPr>
        <w:t>无</w:t>
      </w:r>
    </w:p>
    <w:p>
      <w:pPr>
        <w:widowControl/>
        <w:jc w:val="left"/>
        <w:rPr>
          <w:rFonts w:ascii="仿宋_GB2312" w:hAnsi="仿宋_GB2312" w:eastAsia="仿宋_GB2312" w:cs="仿宋_GB2312"/>
        </w:rPr>
      </w:pPr>
    </w:p>
    <w:bookmarkEnd w:id="0"/>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075BB7"/>
    <w:multiLevelType w:val="singleLevel"/>
    <w:tmpl w:val="74075B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TU3OWY0MDFkYzZkNzkxMjQ2YTEzYWNiMzY2ZjUifQ=="/>
  </w:docVars>
  <w:rsids>
    <w:rsidRoot w:val="003975B2"/>
    <w:rsid w:val="000F0996"/>
    <w:rsid w:val="003975B2"/>
    <w:rsid w:val="008373BF"/>
    <w:rsid w:val="227D7FCC"/>
    <w:rsid w:val="2C9748FF"/>
    <w:rsid w:val="2F9C46D4"/>
    <w:rsid w:val="3BEB23CB"/>
    <w:rsid w:val="44343A44"/>
    <w:rsid w:val="5ADD14BD"/>
    <w:rsid w:val="6107104B"/>
    <w:rsid w:val="75163ED7"/>
    <w:rsid w:val="780125F3"/>
    <w:rsid w:val="7DAC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1518</Words>
  <Characters>1579</Characters>
  <Lines>526</Lines>
  <Paragraphs>344</Paragraphs>
  <TotalTime>18</TotalTime>
  <ScaleCrop>false</ScaleCrop>
  <LinksUpToDate>false</LinksUpToDate>
  <CharactersWithSpaces>2753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2021-04-29T04:16:00Z</dcterms:created>
  <dc:creator>Administrator</dc:creator>
  <cp:lastModifiedBy>邹鹏</cp:lastModifiedBy>
  <dcterms:modified xsi:type="dcterms:W3CDTF">2023-12-27T01:57:50Z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62C957A35F4E40BDAE3EEBE84E2D43D9</vt:lpwstr>
  </property>
</Properties>
</file>