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Autospacing="0" w:afterAutospacing="0" w:line="600" w:lineRule="exact"/>
        <w:jc w:val="center"/>
        <w:rPr>
          <w:rFonts w:hint="eastAsia" w:ascii="方正小标宋简体" w:hAnsi="方正小标宋简体" w:eastAsia="方正小标宋简体" w:cs="方正小标宋简体"/>
          <w:i w:val="0"/>
          <w:caps w:val="0"/>
          <w:color w:val="333333"/>
          <w:spacing w:val="0"/>
          <w:sz w:val="44"/>
          <w:szCs w:val="44"/>
          <w:shd w:val="clear" w:fill="FFFFFF"/>
        </w:rPr>
      </w:pP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lang w:eastAsia="zh-CN"/>
        </w:rPr>
        <w:t>上高县畜牧水产局</w:t>
      </w:r>
      <w: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t>2020</w:t>
      </w:r>
      <w:r>
        <w:rPr>
          <w:rFonts w:hint="eastAsia" w:ascii="方正小标宋简体" w:hAnsi="方正小标宋简体" w:eastAsia="方正小标宋简体" w:cs="方正小标宋简体"/>
          <w:i w:val="0"/>
          <w:caps w:val="0"/>
          <w:color w:val="333333"/>
          <w:spacing w:val="0"/>
          <w:sz w:val="44"/>
          <w:szCs w:val="44"/>
          <w:shd w:val="clear" w:fill="FFFFFF"/>
        </w:rPr>
        <w:t>年政府信息公开</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Cs/>
          <w:color w:val="333333"/>
          <w:sz w:val="44"/>
          <w:szCs w:val="44"/>
          <w:lang w:val="en-US" w:eastAsia="zh-CN"/>
        </w:rPr>
      </w:pPr>
      <w:r>
        <w:rPr>
          <w:rFonts w:hint="eastAsia" w:ascii="方正小标宋简体" w:hAnsi="方正小标宋简体" w:eastAsia="方正小标宋简体" w:cs="方正小标宋简体"/>
          <w:i w:val="0"/>
          <w:caps w:val="0"/>
          <w:color w:val="333333"/>
          <w:spacing w:val="0"/>
          <w:sz w:val="44"/>
          <w:szCs w:val="44"/>
          <w:shd w:val="clear" w:fill="FFFFFF"/>
          <w:lang w:eastAsia="zh-CN"/>
        </w:rPr>
        <w:t>工作</w:t>
      </w:r>
      <w:r>
        <w:rPr>
          <w:rFonts w:hint="eastAsia" w:ascii="方正小标宋简体" w:hAnsi="方正小标宋简体" w:eastAsia="方正小标宋简体" w:cs="方正小标宋简体"/>
          <w:i w:val="0"/>
          <w:caps w:val="0"/>
          <w:color w:val="333333"/>
          <w:spacing w:val="0"/>
          <w:sz w:val="44"/>
          <w:szCs w:val="44"/>
          <w:shd w:val="clear" w:fill="FFFFFF"/>
        </w:rPr>
        <w:t>年度报告</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color w:val="333333"/>
          <w:sz w:val="32"/>
          <w:szCs w:val="32"/>
          <w:shd w:val="clear" w:color="auto" w:fill="FFFFFF"/>
          <w:lang w:val="en-US" w:eastAsia="zh-CN"/>
        </w:rPr>
      </w:pPr>
      <w:r>
        <w:rPr>
          <w:rFonts w:hint="eastAsia" w:ascii="仿宋_GB2312" w:hAnsi="仿宋_GB2312" w:eastAsia="仿宋_GB2312" w:cs="仿宋_GB2312"/>
          <w:bCs/>
          <w:color w:val="333333"/>
          <w:sz w:val="32"/>
          <w:szCs w:val="32"/>
          <w:shd w:val="clear" w:color="auto" w:fill="FFFFFF"/>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上高县畜牧水产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t>
      </w:r>
      <w:r>
        <w:rPr>
          <w:rFonts w:hint="eastAsia" w:ascii="仿宋_GB2312" w:hAnsi="仿宋_GB2312" w:eastAsia="仿宋_GB2312" w:cs="仿宋_GB2312"/>
          <w:i w:val="0"/>
          <w:caps w:val="0"/>
          <w:color w:val="333333"/>
          <w:spacing w:val="0"/>
          <w:sz w:val="32"/>
          <w:szCs w:val="32"/>
          <w:shd w:val="clear" w:fill="FFFFFF"/>
        </w:rPr>
        <w:t>http://www.shanggao.gov.cn</w:t>
      </w:r>
      <w:r>
        <w:rPr>
          <w:rFonts w:hint="eastAsia" w:ascii="仿宋_GB2312" w:hAnsi="仿宋_GB2312" w:eastAsia="仿宋_GB2312" w:cs="仿宋_GB2312"/>
          <w:bCs/>
          <w:color w:val="333333"/>
          <w:sz w:val="32"/>
          <w:szCs w:val="32"/>
          <w:shd w:val="clear" w:color="auto" w:fill="FFFFFF"/>
          <w:lang w:val="en-US" w:eastAsia="zh-CN"/>
        </w:rPr>
        <w:t>）下载。如对本报告有任何疑问，请与上高县畜牧水产局联系（地址：上高县镜山大道3号，电话：0795-2521920，邮编：336400）。</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黑体" w:hAnsi="黑体" w:eastAsia="黑体" w:cs="黑体"/>
          <w:bCs/>
          <w:color w:val="333333"/>
          <w:sz w:val="32"/>
          <w:szCs w:val="32"/>
        </w:rPr>
      </w:pPr>
      <w:r>
        <w:rPr>
          <w:rFonts w:hint="eastAsia" w:ascii="黑体" w:hAnsi="黑体" w:eastAsia="黑体" w:cs="黑体"/>
          <w:b/>
          <w:color w:val="333333"/>
          <w:sz w:val="32"/>
          <w:szCs w:val="32"/>
          <w:shd w:val="clear" w:color="auto" w:fill="FFFFFF"/>
        </w:rPr>
        <w:t>一、</w:t>
      </w:r>
      <w:r>
        <w:rPr>
          <w:rFonts w:hint="eastAsia" w:ascii="黑体" w:hAnsi="黑体" w:eastAsia="黑体" w:cs="黑体"/>
          <w:bCs/>
          <w:color w:val="333333"/>
          <w:sz w:val="32"/>
          <w:szCs w:val="32"/>
          <w:shd w:val="clear" w:color="auto" w:fill="FFFFFF"/>
        </w:rPr>
        <w:t>总体情况</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color w:val="333333"/>
          <w:sz w:val="32"/>
          <w:szCs w:val="32"/>
          <w:shd w:val="clear" w:color="auto" w:fill="FFFFFF"/>
          <w:lang w:val="en-US" w:eastAsia="zh-CN"/>
        </w:rPr>
      </w:pPr>
      <w:r>
        <w:rPr>
          <w:rFonts w:hint="eastAsia" w:ascii="仿宋_GB2312" w:hAnsi="仿宋_GB2312" w:eastAsia="仿宋_GB2312" w:cs="仿宋_GB2312"/>
          <w:bCs/>
          <w:color w:val="333333"/>
          <w:sz w:val="32"/>
          <w:szCs w:val="32"/>
          <w:shd w:val="clear" w:color="auto" w:fill="FFFFFF"/>
          <w:lang w:val="en-US" w:eastAsia="zh-CN"/>
        </w:rPr>
        <w:t>2020年上高县畜牧水产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明确目标任务，紧紧围绕省委、省政府中心工作及社会群众关注关切，着力提升政府信息公开质量，推进拓宽政府信息公开渠道，不断增强政府信息公开实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firstLine="321" w:firstLineChars="1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（一）主动公开</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bCs/>
          <w:color w:val="333333"/>
          <w:sz w:val="32"/>
          <w:szCs w:val="32"/>
          <w:shd w:val="clear" w:color="auto" w:fill="FFFFFF"/>
          <w:lang w:val="en-US" w:eastAsia="zh-CN"/>
        </w:rPr>
      </w:pPr>
      <w:r>
        <w:rPr>
          <w:rFonts w:hint="eastAsia" w:ascii="仿宋_GB2312" w:hAnsi="仿宋_GB2312" w:eastAsia="仿宋_GB2312" w:cs="仿宋_GB2312"/>
          <w:bCs/>
          <w:color w:val="333333"/>
          <w:sz w:val="32"/>
          <w:szCs w:val="32"/>
          <w:shd w:val="clear" w:color="auto" w:fill="FFFFFF"/>
          <w:lang w:val="en-US" w:eastAsia="zh-CN"/>
        </w:rPr>
        <w:t>2020年，上高县畜牧水产局以政务公开网站为平台，充分利用政务新媒体平台优势，全方位、多渠道的推进主动公开政府信息工作。不断强化网站安全管理、信息采编审核、网站集约化建设等工作，不断优化、完善政府信息公开目录，为群众提供政府信息的查询等服务。2020年主动公开政府信息48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firstLine="321" w:firstLineChars="1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（二）依申请公开</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color w:val="333333"/>
          <w:sz w:val="32"/>
          <w:szCs w:val="32"/>
          <w:shd w:val="clear" w:color="auto" w:fill="FFFFFF"/>
          <w:lang w:val="en-US" w:eastAsia="zh-CN"/>
        </w:rPr>
      </w:pPr>
      <w:r>
        <w:rPr>
          <w:rFonts w:hint="eastAsia" w:ascii="仿宋_GB2312" w:hAnsi="仿宋_GB2312" w:eastAsia="仿宋_GB2312" w:cs="仿宋_GB2312"/>
          <w:bCs/>
          <w:color w:val="333333"/>
          <w:sz w:val="32"/>
          <w:szCs w:val="32"/>
          <w:shd w:val="clear" w:color="auto" w:fill="FFFFFF"/>
          <w:lang w:val="en-US" w:eastAsia="zh-CN"/>
        </w:rPr>
        <w:t>依照《条例》的规定，2020年，我局开展了依申请公开受理工作，共收到自然人、法人或其他组织的依申请件0件。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firstLine="321" w:firstLineChars="1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（三）政府信息管理</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color w:val="333333"/>
          <w:sz w:val="32"/>
          <w:szCs w:val="32"/>
          <w:shd w:val="clear" w:color="auto" w:fill="FFFFFF"/>
          <w:lang w:val="en-US" w:eastAsia="zh-CN"/>
        </w:rPr>
      </w:pPr>
      <w:r>
        <w:rPr>
          <w:rFonts w:hint="eastAsia" w:ascii="仿宋_GB2312" w:hAnsi="仿宋_GB2312" w:eastAsia="仿宋_GB2312" w:cs="仿宋_GB2312"/>
          <w:bCs/>
          <w:color w:val="333333"/>
          <w:sz w:val="32"/>
          <w:szCs w:val="32"/>
          <w:shd w:val="clear" w:color="auto" w:fill="FFFFFF"/>
          <w:lang w:val="en-US" w:eastAsia="zh-CN"/>
        </w:rPr>
        <w:t>按照《条例》规定，逐项分解下达年度政府信息公开任务到责任站室，在全局范围内广泛收集最新工作动态，严格按照《中华人民共和国政府信息公开条例》及时公开政府信息，确保信息公开及时、迅速。</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（四）平台建设</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bCs/>
          <w:color w:val="333333"/>
          <w:sz w:val="32"/>
          <w:szCs w:val="32"/>
          <w:shd w:val="clear" w:color="auto" w:fill="FFFFFF"/>
          <w:lang w:val="en-US" w:eastAsia="zh-CN"/>
        </w:rPr>
      </w:pPr>
      <w:r>
        <w:rPr>
          <w:rFonts w:hint="eastAsia" w:ascii="仿宋_GB2312" w:hAnsi="仿宋_GB2312" w:eastAsia="仿宋_GB2312" w:cs="仿宋_GB2312"/>
          <w:bCs/>
          <w:color w:val="333333"/>
          <w:sz w:val="32"/>
          <w:szCs w:val="32"/>
          <w:shd w:val="clear" w:color="auto" w:fill="FFFFFF"/>
          <w:lang w:val="en-US" w:eastAsia="zh-CN"/>
        </w:rPr>
        <w:t>为进一步拓宽我局联系、服务群众渠道，扩大对外宣传力度，提高工作透明度，所有的信息公开均层层把关，定期更新工作动态，对更新不及时，提供资料不及时的，予以督催，必要情况下予以通报批评。</w:t>
      </w:r>
      <w:bookmarkStart w:id="0" w:name="_GoBack"/>
      <w:bookmarkEnd w:id="0"/>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（五）监督保障</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Cs/>
          <w:color w:val="333333"/>
          <w:sz w:val="32"/>
          <w:szCs w:val="32"/>
          <w:shd w:val="clear" w:color="auto" w:fill="FFFFFF"/>
          <w:lang w:val="en-US" w:eastAsia="zh-CN"/>
        </w:rPr>
      </w:pPr>
      <w:r>
        <w:rPr>
          <w:rFonts w:hint="eastAsia" w:ascii="仿宋_GB2312" w:hAnsi="仿宋_GB2312" w:eastAsia="仿宋_GB2312" w:cs="仿宋_GB2312"/>
          <w:bCs/>
          <w:color w:val="333333"/>
          <w:sz w:val="32"/>
          <w:szCs w:val="32"/>
          <w:shd w:val="clear" w:color="auto" w:fill="FFFFFF"/>
          <w:lang w:val="en-US" w:eastAsia="zh-CN"/>
        </w:rPr>
        <w:t>按照政府信息公开规范要求，结合我局实际，对政府信息公开的保密审查、信息送交、统计报送等具体工作进行规范。开展隐私排查工作，对已发布信息逐条排查，进一步加强对公民个人隐私的保护，依法依规维护好人民群众的切身利益，促进政府信息公开工作走上制度化、规范化的轨道。</w:t>
      </w:r>
    </w:p>
    <w:p>
      <w:pPr>
        <w:pStyle w:val="5"/>
        <w:shd w:val="clear" w:color="auto" w:fill="FFFFFF"/>
        <w:spacing w:beforeAutospacing="0" w:afterAutospacing="0" w:line="600" w:lineRule="exact"/>
        <w:ind w:firstLine="640" w:firstLineChars="200"/>
        <w:jc w:val="both"/>
        <w:rPr>
          <w:rFonts w:hint="eastAsia"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二、主动公开政府信息情况</w:t>
      </w:r>
    </w:p>
    <w:tbl>
      <w:tblPr>
        <w:tblStyle w:val="6"/>
        <w:tblW w:w="8624" w:type="dxa"/>
        <w:jc w:val="center"/>
        <w:shd w:val="clear" w:color="auto" w:fill="FFFFFF" w:themeFill="background1"/>
        <w:tblLayout w:type="fixed"/>
        <w:tblCellMar>
          <w:top w:w="0" w:type="dxa"/>
          <w:left w:w="0" w:type="dxa"/>
          <w:bottom w:w="0" w:type="dxa"/>
          <w:right w:w="0" w:type="dxa"/>
        </w:tblCellMar>
      </w:tblPr>
      <w:tblGrid>
        <w:gridCol w:w="3597"/>
        <w:gridCol w:w="1875"/>
        <w:gridCol w:w="6"/>
        <w:gridCol w:w="1265"/>
        <w:gridCol w:w="1881"/>
      </w:tblGrid>
      <w:tr>
        <w:tblPrEx>
          <w:shd w:val="clear" w:color="auto" w:fill="FFFFFF" w:themeFill="background1"/>
          <w:tblCellMar>
            <w:top w:w="0" w:type="dxa"/>
            <w:left w:w="0" w:type="dxa"/>
            <w:bottom w:w="0" w:type="dxa"/>
            <w:right w:w="0" w:type="dxa"/>
          </w:tblCellMar>
        </w:tblPrEx>
        <w:trPr>
          <w:trHeight w:val="495" w:hRule="atLeast"/>
          <w:jc w:val="center"/>
        </w:trPr>
        <w:tc>
          <w:tcPr>
            <w:tcW w:w="8624"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第二十条第（一）项</w:t>
            </w:r>
          </w:p>
        </w:tc>
      </w:tr>
      <w:tr>
        <w:tblPrEx>
          <w:shd w:val="clear" w:color="auto" w:fill="FFFFFF" w:themeFill="background1"/>
          <w:tblCellMar>
            <w:top w:w="0" w:type="dxa"/>
            <w:left w:w="0" w:type="dxa"/>
            <w:bottom w:w="0" w:type="dxa"/>
            <w:right w:w="0" w:type="dxa"/>
          </w:tblCellMar>
        </w:tblPrEx>
        <w:trPr>
          <w:trHeight w:val="882" w:hRule="atLeast"/>
          <w:jc w:val="center"/>
        </w:trPr>
        <w:tc>
          <w:tcPr>
            <w:tcW w:w="3597"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本年新</w:t>
            </w:r>
            <w:r>
              <w:rPr>
                <w:rFonts w:hint="eastAsia" w:ascii="仿宋" w:hAnsi="仿宋" w:eastAsia="仿宋" w:cs="仿宋"/>
                <w:sz w:val="24"/>
              </w:rPr>
              <w:br w:type="textWrapping"/>
            </w:r>
            <w:r>
              <w:rPr>
                <w:rFonts w:hint="eastAsia" w:ascii="仿宋" w:hAnsi="仿宋" w:eastAsia="仿宋" w:cs="仿宋"/>
                <w:sz w:val="24"/>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本年新</w:t>
            </w:r>
            <w:r>
              <w:rPr>
                <w:rFonts w:hint="eastAsia" w:ascii="仿宋" w:hAnsi="仿宋" w:eastAsia="仿宋" w:cs="仿宋"/>
                <w:sz w:val="24"/>
              </w:rPr>
              <w:br w:type="textWrapping"/>
            </w:r>
            <w:r>
              <w:rPr>
                <w:rFonts w:hint="eastAsia" w:ascii="仿宋" w:hAnsi="仿宋" w:eastAsia="仿宋" w:cs="仿宋"/>
                <w:sz w:val="24"/>
              </w:rPr>
              <w:t>公开数量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对外公开总数量</w:t>
            </w:r>
          </w:p>
        </w:tc>
      </w:tr>
      <w:tr>
        <w:tblPrEx>
          <w:shd w:val="clear" w:color="auto" w:fill="FFFFFF" w:themeFill="background1"/>
          <w:tblCellMar>
            <w:top w:w="0" w:type="dxa"/>
            <w:left w:w="0" w:type="dxa"/>
            <w:bottom w:w="0" w:type="dxa"/>
            <w:right w:w="0" w:type="dxa"/>
          </w:tblCellMar>
        </w:tblPrEx>
        <w:trPr>
          <w:trHeight w:val="523" w:hRule="atLeast"/>
          <w:jc w:val="center"/>
        </w:trPr>
        <w:tc>
          <w:tcPr>
            <w:tcW w:w="3597"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规章</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shd w:val="clear" w:color="auto" w:fill="FFFFFF" w:themeFill="background1"/>
          <w:tblCellMar>
            <w:top w:w="0" w:type="dxa"/>
            <w:left w:w="0" w:type="dxa"/>
            <w:bottom w:w="0" w:type="dxa"/>
            <w:right w:w="0" w:type="dxa"/>
          </w:tblCellMar>
        </w:tblPrEx>
        <w:trPr>
          <w:trHeight w:val="471" w:hRule="atLeast"/>
          <w:jc w:val="center"/>
        </w:trPr>
        <w:tc>
          <w:tcPr>
            <w:tcW w:w="3597"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规范性文件</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shd w:val="clear" w:color="auto" w:fill="FFFFFF" w:themeFill="background1"/>
          <w:tblCellMar>
            <w:top w:w="0" w:type="dxa"/>
            <w:left w:w="0" w:type="dxa"/>
            <w:bottom w:w="0" w:type="dxa"/>
            <w:right w:w="0" w:type="dxa"/>
          </w:tblCellMar>
        </w:tblPrEx>
        <w:trPr>
          <w:trHeight w:val="480" w:hRule="atLeast"/>
          <w:jc w:val="center"/>
        </w:trPr>
        <w:tc>
          <w:tcPr>
            <w:tcW w:w="8624"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第二十条第（五）项</w:t>
            </w:r>
          </w:p>
        </w:tc>
      </w:tr>
      <w:tr>
        <w:tblPrEx>
          <w:shd w:val="clear" w:color="auto" w:fill="FFFFFF" w:themeFill="background1"/>
          <w:tblCellMar>
            <w:top w:w="0" w:type="dxa"/>
            <w:left w:w="0" w:type="dxa"/>
            <w:bottom w:w="0" w:type="dxa"/>
            <w:right w:w="0" w:type="dxa"/>
          </w:tblCellMar>
        </w:tblPrEx>
        <w:trPr>
          <w:trHeight w:val="634" w:hRule="atLeast"/>
          <w:jc w:val="center"/>
        </w:trPr>
        <w:tc>
          <w:tcPr>
            <w:tcW w:w="3597"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处理决定数量</w:t>
            </w:r>
          </w:p>
        </w:tc>
      </w:tr>
      <w:tr>
        <w:tblPrEx>
          <w:tblCellMar>
            <w:top w:w="0" w:type="dxa"/>
            <w:left w:w="0" w:type="dxa"/>
            <w:bottom w:w="0" w:type="dxa"/>
            <w:right w:w="0" w:type="dxa"/>
          </w:tblCellMar>
        </w:tblPrEx>
        <w:trPr>
          <w:trHeight w:val="528" w:hRule="atLeast"/>
          <w:jc w:val="center"/>
        </w:trPr>
        <w:tc>
          <w:tcPr>
            <w:tcW w:w="3597"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行政许可</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11</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50" w:hRule="atLeast"/>
          <w:jc w:val="center"/>
        </w:trPr>
        <w:tc>
          <w:tcPr>
            <w:tcW w:w="3597"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其他对外管理服务事项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406" w:hRule="atLeast"/>
          <w:jc w:val="center"/>
        </w:trPr>
        <w:tc>
          <w:tcPr>
            <w:tcW w:w="8624"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第二十条第（六）项</w:t>
            </w:r>
          </w:p>
        </w:tc>
      </w:tr>
      <w:tr>
        <w:tblPrEx>
          <w:tblCellMar>
            <w:top w:w="0" w:type="dxa"/>
            <w:left w:w="0" w:type="dxa"/>
            <w:bottom w:w="0" w:type="dxa"/>
            <w:right w:w="0" w:type="dxa"/>
          </w:tblCellMar>
        </w:tblPrEx>
        <w:trPr>
          <w:trHeight w:val="634" w:hRule="atLeast"/>
          <w:jc w:val="center"/>
        </w:trPr>
        <w:tc>
          <w:tcPr>
            <w:tcW w:w="3597"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处理决定数量</w:t>
            </w:r>
          </w:p>
        </w:tc>
      </w:tr>
      <w:tr>
        <w:tblPrEx>
          <w:tblCellMar>
            <w:top w:w="0" w:type="dxa"/>
            <w:left w:w="0" w:type="dxa"/>
            <w:bottom w:w="0" w:type="dxa"/>
            <w:right w:w="0" w:type="dxa"/>
          </w:tblCellMar>
        </w:tblPrEx>
        <w:trPr>
          <w:trHeight w:val="430" w:hRule="atLeast"/>
          <w:jc w:val="center"/>
        </w:trPr>
        <w:tc>
          <w:tcPr>
            <w:tcW w:w="3597"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行政处罚</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19</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15</w:t>
            </w:r>
          </w:p>
        </w:tc>
      </w:tr>
      <w:tr>
        <w:tblPrEx>
          <w:tblCellMar>
            <w:top w:w="0" w:type="dxa"/>
            <w:left w:w="0" w:type="dxa"/>
            <w:bottom w:w="0" w:type="dxa"/>
            <w:right w:w="0" w:type="dxa"/>
          </w:tblCellMar>
        </w:tblPrEx>
        <w:trPr>
          <w:trHeight w:val="409" w:hRule="atLeast"/>
          <w:jc w:val="center"/>
        </w:trPr>
        <w:tc>
          <w:tcPr>
            <w:tcW w:w="3597"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行政强制</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474" w:hRule="atLeast"/>
          <w:jc w:val="center"/>
        </w:trPr>
        <w:tc>
          <w:tcPr>
            <w:tcW w:w="8624"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第二十条第（八）项</w:t>
            </w:r>
          </w:p>
        </w:tc>
      </w:tr>
      <w:tr>
        <w:tblPrEx>
          <w:tblCellMar>
            <w:top w:w="0" w:type="dxa"/>
            <w:left w:w="0" w:type="dxa"/>
            <w:bottom w:w="0" w:type="dxa"/>
            <w:right w:w="0" w:type="dxa"/>
          </w:tblCellMar>
        </w:tblPrEx>
        <w:trPr>
          <w:trHeight w:val="270" w:hRule="atLeast"/>
          <w:jc w:val="center"/>
        </w:trPr>
        <w:tc>
          <w:tcPr>
            <w:tcW w:w="3597"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信息内容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本年增/减</w:t>
            </w:r>
          </w:p>
        </w:tc>
      </w:tr>
      <w:tr>
        <w:tblPrEx>
          <w:tblCellMar>
            <w:top w:w="0" w:type="dxa"/>
            <w:left w:w="0" w:type="dxa"/>
            <w:bottom w:w="0" w:type="dxa"/>
            <w:right w:w="0" w:type="dxa"/>
          </w:tblCellMar>
        </w:tblPrEx>
        <w:trPr>
          <w:trHeight w:val="551" w:hRule="atLeast"/>
          <w:jc w:val="center"/>
        </w:trPr>
        <w:tc>
          <w:tcPr>
            <w:tcW w:w="3597"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行政事业性收费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146"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476" w:hRule="atLeast"/>
          <w:jc w:val="center"/>
        </w:trPr>
        <w:tc>
          <w:tcPr>
            <w:tcW w:w="8624"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第二十条第（九）项</w:t>
            </w:r>
          </w:p>
        </w:tc>
      </w:tr>
      <w:tr>
        <w:tblPrEx>
          <w:tblCellMar>
            <w:top w:w="0" w:type="dxa"/>
            <w:left w:w="0" w:type="dxa"/>
            <w:bottom w:w="0" w:type="dxa"/>
            <w:right w:w="0" w:type="dxa"/>
          </w:tblCellMar>
        </w:tblPrEx>
        <w:trPr>
          <w:trHeight w:val="689" w:hRule="atLeast"/>
          <w:jc w:val="center"/>
        </w:trPr>
        <w:tc>
          <w:tcPr>
            <w:tcW w:w="3597"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信息内容</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采购项目数量</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采购总金额</w:t>
            </w:r>
          </w:p>
        </w:tc>
      </w:tr>
      <w:tr>
        <w:tblPrEx>
          <w:tblCellMar>
            <w:top w:w="0" w:type="dxa"/>
            <w:left w:w="0" w:type="dxa"/>
            <w:bottom w:w="0" w:type="dxa"/>
            <w:right w:w="0" w:type="dxa"/>
          </w:tblCellMar>
        </w:tblPrEx>
        <w:trPr>
          <w:trHeight w:val="705" w:hRule="atLeast"/>
          <w:jc w:val="center"/>
        </w:trPr>
        <w:tc>
          <w:tcPr>
            <w:tcW w:w="3597"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政府集中采购</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pStyle w:val="5"/>
        <w:shd w:val="clear" w:color="auto" w:fill="FFFFFF"/>
        <w:spacing w:beforeAutospacing="0" w:afterAutospacing="0" w:line="600" w:lineRule="exact"/>
        <w:ind w:firstLine="640" w:firstLineChars="200"/>
        <w:jc w:val="both"/>
        <w:rPr>
          <w:rFonts w:hint="eastAsia" w:ascii="黑体" w:hAnsi="黑体" w:eastAsia="黑体" w:cs="黑体"/>
          <w:color w:val="333333"/>
          <w:sz w:val="32"/>
          <w:szCs w:val="32"/>
        </w:rPr>
      </w:pPr>
      <w:r>
        <w:rPr>
          <w:rFonts w:hint="eastAsia" w:ascii="黑体" w:hAnsi="黑体" w:eastAsia="黑体" w:cs="黑体"/>
          <w:bCs/>
          <w:color w:val="333333"/>
          <w:sz w:val="32"/>
          <w:szCs w:val="32"/>
          <w:shd w:val="clear" w:color="auto" w:fill="FFFFFF"/>
        </w:rPr>
        <w:t>三、收到和处理政府信息公开申请情况</w:t>
      </w:r>
    </w:p>
    <w:tbl>
      <w:tblPr>
        <w:tblStyle w:val="6"/>
        <w:tblW w:w="888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4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5324"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法人或其他组织</w:t>
            </w:r>
          </w:p>
        </w:tc>
        <w:tc>
          <w:tcPr>
            <w:tcW w:w="49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其他</w:t>
            </w:r>
          </w:p>
        </w:tc>
        <w:tc>
          <w:tcPr>
            <w:tcW w:w="49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（一）予以公开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（二）部分公开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（三）不予公开</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1.属于国家秘密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2.其他法律行政法规禁止公开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3.危及“三安全一稳定”</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4.保护第三方合法权益</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rPr>
              <w:t>5.属于三类内部事务信息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6.属于四类过程性信息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7.属于行政执法案卷</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8.属于行政查询事项</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（四）无法提供</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1.本机关不掌握相关政府信息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2.没有现成信息需要另行制作</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（五）不予处理</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（七）总计</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四、结转下年度继续办理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pStyle w:val="5"/>
        <w:shd w:val="clear" w:color="auto" w:fill="FFFFFF"/>
        <w:spacing w:beforeAutospacing="0" w:afterAutospacing="0" w:line="600" w:lineRule="exact"/>
        <w:ind w:firstLine="640" w:firstLineChars="200"/>
        <w:jc w:val="both"/>
        <w:rPr>
          <w:rFonts w:hint="eastAsia"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pStyle w:val="5"/>
        <w:numPr>
          <w:ilvl w:val="0"/>
          <w:numId w:val="0"/>
        </w:numPr>
        <w:shd w:val="clear" w:color="auto" w:fill="FFFFFF"/>
        <w:spacing w:beforeAutospacing="0" w:afterAutospacing="0" w:line="600" w:lineRule="exact"/>
        <w:ind w:firstLine="640" w:firstLineChars="200"/>
        <w:jc w:val="both"/>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lang w:eastAsia="zh-CN"/>
        </w:rPr>
        <w:t>五、</w:t>
      </w:r>
      <w:r>
        <w:rPr>
          <w:rFonts w:hint="eastAsia" w:ascii="黑体" w:hAnsi="黑体" w:eastAsia="黑体" w:cs="黑体"/>
          <w:bCs/>
          <w:color w:val="333333"/>
          <w:sz w:val="32"/>
          <w:szCs w:val="32"/>
          <w:shd w:val="clear" w:color="auto" w:fill="FFFFFF"/>
        </w:rPr>
        <w:t>存在的主要问题及改进情况</w:t>
      </w:r>
    </w:p>
    <w:p>
      <w:pPr>
        <w:pStyle w:val="5"/>
        <w:numPr>
          <w:ilvl w:val="0"/>
          <w:numId w:val="0"/>
        </w:numPr>
        <w:shd w:val="clear" w:color="auto" w:fill="FFFFFF"/>
        <w:spacing w:beforeAutospacing="0" w:afterAutospacing="0" w:line="600" w:lineRule="exact"/>
        <w:ind w:firstLine="640" w:firstLineChars="200"/>
        <w:jc w:val="both"/>
        <w:rPr>
          <w:rFonts w:hint="eastAsia" w:ascii="仿宋_GB2312" w:hAnsi="仿宋_GB2312" w:eastAsia="仿宋_GB2312" w:cs="仿宋_GB2312"/>
          <w:i w:val="0"/>
          <w:caps w:val="0"/>
          <w:color w:val="444444"/>
          <w:spacing w:val="0"/>
          <w:sz w:val="32"/>
          <w:szCs w:val="32"/>
          <w:shd w:val="clear" w:fill="FFFFFF"/>
          <w:lang w:val="en-US" w:eastAsia="zh-CN"/>
        </w:rPr>
      </w:pPr>
      <w:r>
        <w:rPr>
          <w:rFonts w:hint="eastAsia" w:ascii="仿宋_GB2312" w:hAnsi="仿宋_GB2312" w:eastAsia="仿宋_GB2312" w:cs="仿宋_GB2312"/>
          <w:i w:val="0"/>
          <w:caps w:val="0"/>
          <w:color w:val="444444"/>
          <w:spacing w:val="0"/>
          <w:sz w:val="32"/>
          <w:szCs w:val="32"/>
          <w:shd w:val="clear" w:fill="FFFFFF"/>
          <w:lang w:val="en-US" w:eastAsia="zh-CN"/>
        </w:rPr>
        <w:t>2020年度，虽然我局在政府信息公开上做了一些工作，取得了一些成效，但是仍然存在不足之处，主要表现在信息公开内容有待进一步完善，不够全面，形式有待进一步丰富。针对上述问题，我局将从以下方面加以改进。一是提高思想认识，按照“政务公开为常态、不公开为例外”的要求，严格贯彻落实《政府信息公开条例》，继续大力推进政府信息公开工作。二是完善信息公开工作机制，逐步拓宽信息公开内容核公开形式，加大信息公开力度，确保信息公开的准确性。三是提高信息公开工作的针对性和实效性，做到工作动态及时公开。</w:t>
      </w:r>
    </w:p>
    <w:p>
      <w:pPr>
        <w:pStyle w:val="5"/>
        <w:numPr>
          <w:ilvl w:val="0"/>
          <w:numId w:val="0"/>
        </w:numPr>
        <w:shd w:val="clear" w:color="auto" w:fill="FFFFFF"/>
        <w:spacing w:beforeAutospacing="0" w:afterAutospacing="0" w:line="600" w:lineRule="exact"/>
        <w:ind w:firstLine="640" w:firstLineChars="200"/>
        <w:jc w:val="both"/>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lang w:eastAsia="zh-CN"/>
        </w:rPr>
        <w:t>六、</w:t>
      </w:r>
      <w:r>
        <w:rPr>
          <w:rFonts w:hint="eastAsia" w:ascii="黑体" w:hAnsi="黑体" w:eastAsia="黑体" w:cs="黑体"/>
          <w:bCs/>
          <w:color w:val="333333"/>
          <w:sz w:val="32"/>
          <w:szCs w:val="32"/>
          <w:shd w:val="clear" w:color="auto" w:fill="FFFFFF"/>
        </w:rPr>
        <w:t>其他需要报告的事项</w:t>
      </w:r>
    </w:p>
    <w:p>
      <w:pPr>
        <w:pStyle w:val="5"/>
        <w:numPr>
          <w:ilvl w:val="0"/>
          <w:numId w:val="0"/>
        </w:numPr>
        <w:shd w:val="clear" w:color="auto" w:fill="FFFFFF"/>
        <w:spacing w:beforeAutospacing="0" w:afterAutospacing="0" w:line="600" w:lineRule="exact"/>
        <w:ind w:firstLine="640" w:firstLineChars="200"/>
        <w:jc w:val="both"/>
        <w:rPr>
          <w:rFonts w:hint="eastAsia" w:ascii="仿宋_GB2312" w:hAnsi="仿宋_GB2312" w:eastAsia="仿宋_GB2312" w:cs="仿宋_GB2312"/>
          <w:i w:val="0"/>
          <w:caps w:val="0"/>
          <w:color w:val="444444"/>
          <w:spacing w:val="0"/>
          <w:sz w:val="32"/>
          <w:szCs w:val="32"/>
          <w:shd w:val="clear" w:fill="FFFFFF"/>
        </w:rPr>
      </w:pPr>
      <w:r>
        <w:rPr>
          <w:rFonts w:hint="eastAsia" w:ascii="仿宋_GB2312" w:hAnsi="仿宋_GB2312" w:eastAsia="仿宋_GB2312" w:cs="仿宋_GB2312"/>
          <w:i w:val="0"/>
          <w:caps w:val="0"/>
          <w:color w:val="444444"/>
          <w:spacing w:val="0"/>
          <w:sz w:val="32"/>
          <w:szCs w:val="32"/>
          <w:shd w:val="clear" w:fill="FFFFFF"/>
          <w:lang w:eastAsia="zh-CN"/>
        </w:rPr>
        <w:t>本局无</w:t>
      </w:r>
      <w:r>
        <w:rPr>
          <w:rFonts w:hint="eastAsia" w:ascii="仿宋_GB2312" w:hAnsi="仿宋_GB2312" w:eastAsia="仿宋_GB2312" w:cs="仿宋_GB2312"/>
          <w:i w:val="0"/>
          <w:caps w:val="0"/>
          <w:color w:val="444444"/>
          <w:spacing w:val="0"/>
          <w:sz w:val="32"/>
          <w:szCs w:val="32"/>
          <w:shd w:val="clear" w:fill="FFFFFF"/>
        </w:rPr>
        <w:t>其他需要报告的事项</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NmI3NWMxZTBjMDgwMGM4MmUzMTNhNmJlMzlhNDAifQ=="/>
  </w:docVars>
  <w:rsids>
    <w:rsidRoot w:val="00BB01A8"/>
    <w:rsid w:val="0055359B"/>
    <w:rsid w:val="00B864DE"/>
    <w:rsid w:val="00BB01A8"/>
    <w:rsid w:val="0265779B"/>
    <w:rsid w:val="03827A5F"/>
    <w:rsid w:val="0A0F7224"/>
    <w:rsid w:val="0A1A2A9F"/>
    <w:rsid w:val="0CEB5FEC"/>
    <w:rsid w:val="0D2C2D28"/>
    <w:rsid w:val="0E0F28F4"/>
    <w:rsid w:val="0EFE781E"/>
    <w:rsid w:val="10BC4AA1"/>
    <w:rsid w:val="179F36EF"/>
    <w:rsid w:val="18791563"/>
    <w:rsid w:val="225D2AE5"/>
    <w:rsid w:val="241F25BC"/>
    <w:rsid w:val="24275E64"/>
    <w:rsid w:val="26D52B17"/>
    <w:rsid w:val="273F0F06"/>
    <w:rsid w:val="2B0F34B8"/>
    <w:rsid w:val="2D707306"/>
    <w:rsid w:val="2FB22320"/>
    <w:rsid w:val="307B0568"/>
    <w:rsid w:val="3F401CA3"/>
    <w:rsid w:val="42E53595"/>
    <w:rsid w:val="43BE4EC4"/>
    <w:rsid w:val="507D1E62"/>
    <w:rsid w:val="5D3C76F3"/>
    <w:rsid w:val="64E02E6D"/>
    <w:rsid w:val="65DA7345"/>
    <w:rsid w:val="67492532"/>
    <w:rsid w:val="6A7B48AB"/>
    <w:rsid w:val="70462A05"/>
    <w:rsid w:val="729E063B"/>
    <w:rsid w:val="7AC03E6F"/>
    <w:rsid w:val="7FCF05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Calibri" w:hAnsi="Calibri" w:cs="黑体"/>
      <w:kern w:val="2"/>
      <w:sz w:val="18"/>
      <w:szCs w:val="18"/>
    </w:rPr>
  </w:style>
  <w:style w:type="character" w:customStyle="1" w:styleId="10">
    <w:name w:val="页脚 Char"/>
    <w:basedOn w:val="7"/>
    <w:link w:val="3"/>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2170</Words>
  <Characters>2274</Characters>
  <Lines>9</Lines>
  <Paragraphs>2</Paragraphs>
  <TotalTime>26</TotalTime>
  <ScaleCrop>false</ScaleCrop>
  <LinksUpToDate>false</LinksUpToDate>
  <CharactersWithSpaces>2274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2020-01-09T07:07:00Z</dcterms:created>
  <dc:creator>Administrator</dc:creator>
  <cp:lastModifiedBy>Administrator</cp:lastModifiedBy>
  <dcterms:modified xsi:type="dcterms:W3CDTF">2023-06-26T09:46:59Z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643540A155CD48A79AEB78BD7B1101DB</vt:lpwstr>
  </property>
</Properties>
</file>