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44"/>
          <w:szCs w:val="44"/>
          <w:shd w:val="clear" w:fill="FFFFFF"/>
          <w:lang w:val="en-US" w:eastAsia="zh-CN"/>
        </w:rPr>
      </w:pPr>
      <w:r>
        <w:rPr>
          <w:rFonts w:hint="eastAsia" w:ascii="宋体" w:hAnsi="宋体" w:eastAsia="宋体" w:cs="宋体"/>
          <w:b/>
          <w:i w:val="0"/>
          <w:caps w:val="0"/>
          <w:color w:val="333333"/>
          <w:spacing w:val="0"/>
          <w:sz w:val="44"/>
          <w:szCs w:val="44"/>
          <w:shd w:val="clear" w:fill="FFFFFF"/>
          <w:lang w:val="en-US" w:eastAsia="zh-CN"/>
        </w:rPr>
        <w:t>芦洲乡2020年政府信息公开工作年度报告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芦洲乡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www.shanggao.gov.cn)下载。如对本报告有任何疑问，请与上高县芦洲乡人民政府办公室联系（地址:上高县芦洲乡集镇，电话：0795-2452026 邮编：336404）。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b/>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lang w:val="en-US" w:eastAsia="zh-CN"/>
        </w:rPr>
        <w:t>202</w:t>
      </w:r>
      <w:r>
        <w:rPr>
          <w:rFonts w:hint="eastAsia" w:ascii="宋体" w:hAnsi="宋体" w:eastAsia="宋体" w:cs="宋体"/>
          <w:i w:val="0"/>
          <w:caps w:val="0"/>
          <w:color w:val="333333"/>
          <w:spacing w:val="0"/>
          <w:sz w:val="32"/>
          <w:szCs w:val="32"/>
          <w:lang w:val="en-US" w:eastAsia="zh-CN"/>
        </w:rPr>
        <w:t>0年芦洲乡坚持以习</w:t>
      </w:r>
      <w:r>
        <w:rPr>
          <w:rFonts w:hint="eastAsia" w:ascii="宋体" w:hAnsi="宋体" w:eastAsia="宋体" w:cs="宋体"/>
          <w:i w:val="0"/>
          <w:caps w:val="0"/>
          <w:color w:val="333333"/>
          <w:spacing w:val="0"/>
          <w:sz w:val="32"/>
          <w:szCs w:val="32"/>
          <w:shd w:val="clear" w:fill="FFFFFF"/>
          <w:lang w:val="en-US" w:eastAsia="zh-CN"/>
        </w:rPr>
        <w:t>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w:t>
      </w:r>
      <w:r>
        <w:rPr>
          <w:rFonts w:hint="eastAsia" w:ascii="宋体" w:hAnsi="宋体" w:eastAsia="宋体" w:cs="宋体"/>
          <w:i w:val="0"/>
          <w:caps w:val="0"/>
          <w:color w:val="333333"/>
          <w:spacing w:val="0"/>
          <w:sz w:val="32"/>
          <w:szCs w:val="32"/>
          <w:shd w:val="clear" w:fill="FFFFFF"/>
        </w:rPr>
        <w:t>《省政府办公厅关于印发2020年政务公开工作要点的通知》和《市政府办公室关于印发2020年政务公开工作要点的通知》</w:t>
      </w:r>
      <w:r>
        <w:rPr>
          <w:rFonts w:hint="eastAsia" w:ascii="宋体" w:hAnsi="宋体" w:eastAsia="宋体" w:cs="宋体"/>
          <w:i w:val="0"/>
          <w:caps w:val="0"/>
          <w:color w:val="333333"/>
          <w:spacing w:val="0"/>
          <w:sz w:val="32"/>
          <w:szCs w:val="32"/>
          <w:shd w:val="clear" w:fill="FFFFFF"/>
          <w:lang w:val="en-US" w:eastAsia="zh-CN"/>
        </w:rPr>
        <w:t>明确目标任务，紧紧围绕省委、省政府中心工作及社会群众关注关切，着力提升政府信息公开质量，推进拓宽政府信息公开渠道，不断增强政府信息公开实效。</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b/>
          <w:i w:val="0"/>
          <w:caps w:val="0"/>
          <w:color w:val="333333"/>
          <w:spacing w:val="0"/>
          <w:sz w:val="32"/>
          <w:szCs w:val="32"/>
          <w:shd w:val="clear" w:fill="FFFFFF"/>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我乡认真贯彻落实《条例》及市县有关文件精神，夯实政府信息公开工作基础，按照“以公开为原则，不公开为例外”的要求，将除涉及国家秘密、商业机密和个人隐私以外的，与经济建设、社会管理和公共服务相关的政府信息，主动向社会进行公开，今年以来主动公开的信息数共有150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宋体" w:hAnsi="宋体" w:eastAsia="宋体" w:cs="宋体"/>
          <w:i w:val="0"/>
          <w:caps w:val="0"/>
          <w:color w:val="333333"/>
          <w:spacing w:val="0"/>
          <w:sz w:val="32"/>
          <w:szCs w:val="32"/>
          <w:shd w:val="clear" w:fill="FFFFFF"/>
          <w:lang w:val="en-US" w:eastAsia="zh-CN"/>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rPr>
        <w:t>2020年1月1日至2020年12月31日，</w:t>
      </w:r>
      <w:r>
        <w:rPr>
          <w:rFonts w:hint="eastAsia" w:ascii="宋体" w:hAnsi="宋体" w:eastAsia="宋体" w:cs="宋体"/>
          <w:i w:val="0"/>
          <w:caps w:val="0"/>
          <w:color w:val="333333"/>
          <w:spacing w:val="0"/>
          <w:sz w:val="32"/>
          <w:szCs w:val="32"/>
          <w:shd w:val="clear" w:fill="FFFFFF"/>
          <w:lang w:val="en-US" w:eastAsia="zh-CN"/>
        </w:rPr>
        <w:t>我乡依申请公开政务信息1条，为芦洲乡</w:t>
      </w:r>
      <w:r>
        <w:rPr>
          <w:rFonts w:hint="eastAsia" w:ascii="宋体" w:hAnsi="宋体" w:eastAsia="宋体" w:cs="宋体"/>
          <w:i w:val="0"/>
          <w:caps w:val="0"/>
          <w:color w:val="333333"/>
          <w:spacing w:val="0"/>
          <w:sz w:val="32"/>
          <w:szCs w:val="32"/>
          <w:shd w:val="clear" w:fill="FFFFFF"/>
        </w:rPr>
        <w:t>永久基本农田位置、范围的公告及该公告公布的具体时间和途径的申请，按照《条例》规定和依申请公开制度要求，通过政务公开网站第一时间受理</w:t>
      </w:r>
      <w:r>
        <w:rPr>
          <w:rFonts w:hint="eastAsia" w:ascii="宋体" w:hAnsi="宋体" w:eastAsia="宋体" w:cs="宋体"/>
          <w:i w:val="0"/>
          <w:caps w:val="0"/>
          <w:color w:val="333333"/>
          <w:spacing w:val="0"/>
          <w:sz w:val="32"/>
          <w:szCs w:val="32"/>
          <w:shd w:val="clear" w:fill="FFFFFF"/>
          <w:lang w:eastAsia="zh-CN"/>
        </w:rPr>
        <w:t>和审查</w:t>
      </w:r>
      <w:r>
        <w:rPr>
          <w:rFonts w:hint="eastAsia" w:ascii="宋体" w:hAnsi="宋体" w:eastAsia="宋体" w:cs="宋体"/>
          <w:i w:val="0"/>
          <w:caps w:val="0"/>
          <w:color w:val="333333"/>
          <w:spacing w:val="0"/>
          <w:sz w:val="32"/>
          <w:szCs w:val="32"/>
          <w:shd w:val="clear" w:fill="FFFFFF"/>
        </w:rPr>
        <w:t>，已在规定时限内，按照申请人要求，通过信件邮寄和按照相关规定要求在政务公开网站进行答复</w:t>
      </w:r>
      <w:r>
        <w:rPr>
          <w:rFonts w:hint="eastAsia" w:ascii="宋体" w:hAnsi="宋体" w:eastAsia="宋体" w:cs="宋体"/>
          <w:i w:val="0"/>
          <w:caps w:val="0"/>
          <w:color w:val="333333"/>
          <w:spacing w:val="0"/>
          <w:sz w:val="32"/>
          <w:szCs w:val="32"/>
          <w:shd w:val="clear" w:fill="FFFFFF"/>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rPr>
        <w:t>严格按照《条例》和政务公开相关规定制度等有关要求，编制</w:t>
      </w:r>
      <w:r>
        <w:rPr>
          <w:rFonts w:hint="eastAsia" w:ascii="宋体" w:hAnsi="宋体" w:eastAsia="宋体" w:cs="宋体"/>
          <w:i w:val="0"/>
          <w:caps w:val="0"/>
          <w:color w:val="333333"/>
          <w:spacing w:val="0"/>
          <w:sz w:val="32"/>
          <w:szCs w:val="32"/>
          <w:shd w:val="clear" w:fill="FFFFFF"/>
          <w:lang w:eastAsia="zh-CN"/>
        </w:rPr>
        <w:t>芦洲乡</w:t>
      </w:r>
      <w:r>
        <w:rPr>
          <w:rFonts w:hint="eastAsia" w:ascii="宋体" w:hAnsi="宋体" w:eastAsia="宋体" w:cs="宋体"/>
          <w:i w:val="0"/>
          <w:caps w:val="0"/>
          <w:color w:val="333333"/>
          <w:spacing w:val="0"/>
          <w:sz w:val="32"/>
          <w:szCs w:val="32"/>
          <w:shd w:val="clear" w:fill="FFFFFF"/>
          <w:lang w:val="en-US" w:eastAsia="zh-CN"/>
        </w:rPr>
        <w:t>19</w:t>
      </w:r>
      <w:r>
        <w:rPr>
          <w:rFonts w:hint="eastAsia" w:ascii="宋体" w:hAnsi="宋体" w:eastAsia="宋体" w:cs="宋体"/>
          <w:i w:val="0"/>
          <w:caps w:val="0"/>
          <w:color w:val="333333"/>
          <w:spacing w:val="0"/>
          <w:sz w:val="32"/>
          <w:szCs w:val="32"/>
          <w:shd w:val="clear" w:fill="FFFFFF"/>
        </w:rPr>
        <w:t>项领域政务公开事项标准目录</w:t>
      </w:r>
      <w:r>
        <w:rPr>
          <w:rFonts w:hint="eastAsia" w:ascii="宋体" w:hAnsi="宋体" w:eastAsia="宋体" w:cs="宋体"/>
          <w:i w:val="0"/>
          <w:caps w:val="0"/>
          <w:color w:val="333333"/>
          <w:spacing w:val="0"/>
          <w:sz w:val="32"/>
          <w:szCs w:val="32"/>
          <w:shd w:val="clear" w:fill="FFFFFF"/>
          <w:lang w:eastAsia="zh-CN"/>
        </w:rPr>
        <w:t>，</w:t>
      </w:r>
      <w:r>
        <w:rPr>
          <w:rFonts w:hint="eastAsia" w:ascii="宋体" w:hAnsi="宋体" w:eastAsia="宋体" w:cs="宋体"/>
          <w:i w:val="0"/>
          <w:caps w:val="0"/>
          <w:color w:val="333333"/>
          <w:spacing w:val="0"/>
          <w:sz w:val="32"/>
          <w:szCs w:val="32"/>
          <w:shd w:val="clear" w:fill="FFFFFF"/>
        </w:rPr>
        <w:t>公开</w:t>
      </w:r>
      <w:r>
        <w:rPr>
          <w:rFonts w:hint="eastAsia" w:ascii="宋体" w:hAnsi="宋体" w:eastAsia="宋体" w:cs="宋体"/>
          <w:i w:val="0"/>
          <w:caps w:val="0"/>
          <w:color w:val="333333"/>
          <w:spacing w:val="0"/>
          <w:sz w:val="32"/>
          <w:szCs w:val="32"/>
          <w:shd w:val="clear" w:fill="FFFFFF"/>
          <w:lang w:eastAsia="zh-CN"/>
        </w:rPr>
        <w:t>相关</w:t>
      </w:r>
      <w:r>
        <w:rPr>
          <w:rFonts w:hint="eastAsia" w:ascii="宋体" w:hAnsi="宋体" w:eastAsia="宋体" w:cs="宋体"/>
          <w:i w:val="0"/>
          <w:caps w:val="0"/>
          <w:color w:val="333333"/>
          <w:spacing w:val="0"/>
          <w:sz w:val="32"/>
          <w:szCs w:val="32"/>
          <w:shd w:val="clear" w:fill="FFFFFF"/>
        </w:rPr>
        <w:t>信息</w:t>
      </w:r>
      <w:r>
        <w:rPr>
          <w:rFonts w:hint="eastAsia" w:ascii="宋体" w:hAnsi="宋体" w:eastAsia="宋体" w:cs="宋体"/>
          <w:i w:val="0"/>
          <w:caps w:val="0"/>
          <w:color w:val="333333"/>
          <w:spacing w:val="0"/>
          <w:sz w:val="32"/>
          <w:szCs w:val="32"/>
          <w:shd w:val="clear" w:fill="FFFFFF"/>
          <w:lang w:eastAsia="zh-CN"/>
        </w:rPr>
        <w:t>；</w:t>
      </w:r>
      <w:r>
        <w:rPr>
          <w:rFonts w:hint="eastAsia" w:ascii="宋体" w:hAnsi="宋体" w:eastAsia="宋体" w:cs="宋体"/>
          <w:i w:val="0"/>
          <w:caps w:val="0"/>
          <w:color w:val="333333"/>
          <w:spacing w:val="0"/>
          <w:sz w:val="32"/>
          <w:szCs w:val="32"/>
          <w:shd w:val="clear" w:fill="FFFFFF"/>
        </w:rPr>
        <w:t>强化便民服务，加强信息资源的规范化、标准化、信息化管理</w:t>
      </w:r>
      <w:r>
        <w:rPr>
          <w:rFonts w:hint="eastAsia" w:ascii="宋体" w:hAnsi="宋体" w:eastAsia="宋体" w:cs="宋体"/>
          <w:i w:val="0"/>
          <w:caps w:val="0"/>
          <w:color w:val="333333"/>
          <w:spacing w:val="0"/>
          <w:sz w:val="32"/>
          <w:szCs w:val="32"/>
          <w:shd w:val="clear" w:fill="FFFFFF"/>
          <w:lang w:eastAsia="zh-CN"/>
        </w:rPr>
        <w:t>；</w:t>
      </w:r>
      <w:r>
        <w:rPr>
          <w:rFonts w:hint="eastAsia" w:ascii="宋体" w:hAnsi="宋体" w:eastAsia="宋体" w:cs="宋体"/>
          <w:i w:val="0"/>
          <w:caps w:val="0"/>
          <w:color w:val="333333"/>
          <w:spacing w:val="0"/>
          <w:sz w:val="32"/>
          <w:szCs w:val="32"/>
          <w:shd w:val="clear" w:fill="FFFFFF"/>
        </w:rPr>
        <w:t>加强相关平台建设，提高政府信息公开的质量和效率。</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我乡坚持政府门户网站为第一平台，同时</w:t>
      </w:r>
      <w:r>
        <w:rPr>
          <w:rFonts w:hint="eastAsia" w:ascii="宋体" w:hAnsi="宋体" w:eastAsia="宋体" w:cs="宋体"/>
          <w:i w:val="0"/>
          <w:caps w:val="0"/>
          <w:color w:val="333333"/>
          <w:spacing w:val="0"/>
          <w:sz w:val="32"/>
          <w:szCs w:val="32"/>
          <w:shd w:val="clear" w:fill="FFFFFF"/>
          <w:lang w:eastAsia="zh-CN"/>
        </w:rPr>
        <w:t>积极推进</w:t>
      </w:r>
      <w:r>
        <w:rPr>
          <w:rFonts w:hint="eastAsia" w:ascii="宋体" w:hAnsi="宋体" w:eastAsia="宋体" w:cs="宋体"/>
          <w:i w:val="0"/>
          <w:caps w:val="0"/>
          <w:color w:val="333333"/>
          <w:spacing w:val="0"/>
          <w:sz w:val="32"/>
          <w:szCs w:val="32"/>
          <w:shd w:val="clear" w:fill="FFFFFF"/>
          <w:lang w:val="en-US" w:eastAsia="zh-CN"/>
        </w:rPr>
        <w:t>手机APP、</w:t>
      </w:r>
      <w:r>
        <w:rPr>
          <w:rFonts w:hint="eastAsia" w:ascii="宋体" w:hAnsi="宋体" w:eastAsia="宋体" w:cs="宋体"/>
          <w:i w:val="0"/>
          <w:caps w:val="0"/>
          <w:color w:val="333333"/>
          <w:spacing w:val="0"/>
          <w:sz w:val="32"/>
          <w:szCs w:val="32"/>
          <w:shd w:val="clear" w:fill="FFFFFF"/>
          <w:lang w:eastAsia="zh-CN"/>
        </w:rPr>
        <w:t>“两微一端”政务新媒体平台建设，进一步提高工作的透明度和管理服务效能，充分发挥好宣传窗口的作用，不断增进政务公开、增强政务服务能力。</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eastAsia="zh-CN"/>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eastAsia="zh-CN"/>
        </w:rPr>
        <w:t>我乡</w:t>
      </w:r>
      <w:r>
        <w:rPr>
          <w:rFonts w:hint="eastAsia" w:ascii="宋体" w:hAnsi="宋体" w:eastAsia="宋体" w:cs="宋体"/>
          <w:i w:val="0"/>
          <w:caps w:val="0"/>
          <w:color w:val="333333"/>
          <w:spacing w:val="0"/>
          <w:sz w:val="32"/>
          <w:szCs w:val="32"/>
          <w:shd w:val="clear" w:fill="FFFFFF"/>
          <w:lang w:val="en-US" w:eastAsia="zh-CN"/>
        </w:rPr>
        <w:t>通过设立投诉电话、监督意见箱、走访等方式，接受社会监督；定期或不定期对政府信息公开工作进行监督检查，对凡应该公开而没有公开，以及公开内容不规范的，限期整改；将信息公开工作落实到个人，明确责任，使政府信息公开的监督经常化、制度化、信息化，不断提高人民群众对政府的满意度，使政务公开走上经常化、制度化、规范化、信息化的轨道，为全乡经济社会的持续、快速、健康发展提供良好的政务环境。</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4"/>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规范性文件</w:t>
            </w:r>
          </w:p>
        </w:tc>
        <w:tc>
          <w:tcPr>
            <w:tcW w:w="2460"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2025"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c>
          <w:tcPr>
            <w:tcW w:w="2295"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tcPr>
          <w:p>
            <w:pPr>
              <w:spacing w:line="460" w:lineRule="exact"/>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2025"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c>
          <w:tcPr>
            <w:tcW w:w="2295"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4320" w:type="dxa"/>
            <w:gridSpan w:val="2"/>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2460"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4320" w:type="dxa"/>
            <w:gridSpan w:val="2"/>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采购项目数量</w:t>
            </w:r>
          </w:p>
        </w:tc>
        <w:tc>
          <w:tcPr>
            <w:tcW w:w="4320" w:type="dxa"/>
            <w:gridSpan w:val="2"/>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spacing w:line="460" w:lineRule="exact"/>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4</w:t>
            </w:r>
          </w:p>
        </w:tc>
        <w:tc>
          <w:tcPr>
            <w:tcW w:w="4320" w:type="dxa"/>
            <w:gridSpan w:val="2"/>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28089</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4"/>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本列数据的勾稽关系为：第一项加第二项</w:t>
            </w:r>
            <w:r>
              <w:rPr>
                <w:rFonts w:hint="eastAsia" w:ascii="仿宋" w:hAnsi="仿宋" w:eastAsia="仿宋" w:cs="仿宋"/>
                <w:sz w:val="24"/>
                <w:szCs w:val="24"/>
              </w:rPr>
              <w:t>之和，等于第三项加第四项</w:t>
            </w:r>
            <w:r>
              <w:rPr>
                <w:rFonts w:hint="eastAsia" w:ascii="仿宋" w:hAnsi="仿宋" w:eastAsia="仿宋" w:cs="仿宋"/>
                <w:sz w:val="24"/>
                <w:szCs w:val="24"/>
              </w:rPr>
              <w:t>之和</w:t>
            </w:r>
          </w:p>
        </w:tc>
        <w:tc>
          <w:tcPr>
            <w:tcW w:w="6865" w:type="dxa"/>
            <w:gridSpan w:val="7"/>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vAlign w:val="center"/>
          </w:tcPr>
          <w:p>
            <w:pPr>
              <w:spacing w:line="300" w:lineRule="exact"/>
              <w:jc w:val="center"/>
              <w:rPr>
                <w:rFonts w:ascii="仿宋" w:hAnsi="仿宋" w:eastAsia="仿宋" w:cs="仿宋"/>
                <w:sz w:val="24"/>
                <w:szCs w:val="24"/>
              </w:rPr>
            </w:pPr>
          </w:p>
        </w:tc>
        <w:tc>
          <w:tcPr>
            <w:tcW w:w="1053"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自然人</w:t>
            </w:r>
          </w:p>
        </w:tc>
        <w:tc>
          <w:tcPr>
            <w:tcW w:w="5103" w:type="dxa"/>
            <w:gridSpan w:val="5"/>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法人或其他组织</w:t>
            </w:r>
          </w:p>
        </w:tc>
        <w:tc>
          <w:tcPr>
            <w:tcW w:w="709"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spacing w:line="300" w:lineRule="exact"/>
              <w:jc w:val="center"/>
              <w:rPr>
                <w:rFonts w:ascii="仿宋" w:hAnsi="仿宋" w:eastAsia="仿宋" w:cs="仿宋"/>
                <w:sz w:val="24"/>
                <w:szCs w:val="24"/>
              </w:rPr>
            </w:pPr>
          </w:p>
        </w:tc>
        <w:tc>
          <w:tcPr>
            <w:tcW w:w="1053" w:type="dxa"/>
            <w:vMerge w:val="continue"/>
            <w:shd w:val="clear" w:color="auto" w:fill="auto"/>
            <w:vAlign w:val="center"/>
          </w:tcPr>
          <w:p>
            <w:pPr>
              <w:spacing w:line="300" w:lineRule="exact"/>
              <w:jc w:val="center"/>
              <w:rPr>
                <w:rFonts w:ascii="仿宋" w:hAnsi="仿宋" w:eastAsia="仿宋" w:cs="仿宋"/>
                <w:sz w:val="24"/>
                <w:szCs w:val="24"/>
              </w:rPr>
            </w:pPr>
          </w:p>
        </w:tc>
        <w:tc>
          <w:tcPr>
            <w:tcW w:w="1134"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商业</w:t>
            </w:r>
          </w:p>
          <w:p>
            <w:pPr>
              <w:spacing w:line="300" w:lineRule="exact"/>
              <w:jc w:val="center"/>
              <w:rPr>
                <w:rFonts w:ascii="仿宋" w:hAnsi="仿宋" w:eastAsia="仿宋" w:cs="仿宋"/>
                <w:sz w:val="24"/>
                <w:szCs w:val="24"/>
              </w:rPr>
            </w:pPr>
            <w:r>
              <w:rPr>
                <w:rFonts w:hint="eastAsia" w:ascii="仿宋" w:hAnsi="仿宋" w:eastAsia="仿宋" w:cs="仿宋"/>
                <w:sz w:val="24"/>
                <w:szCs w:val="24"/>
              </w:rPr>
              <w:t>企业</w:t>
            </w:r>
          </w:p>
        </w:tc>
        <w:tc>
          <w:tcPr>
            <w:tcW w:w="972"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科研</w:t>
            </w:r>
          </w:p>
          <w:p>
            <w:pPr>
              <w:spacing w:line="300" w:lineRule="exact"/>
              <w:jc w:val="center"/>
              <w:rPr>
                <w:rFonts w:ascii="仿宋" w:hAnsi="仿宋" w:eastAsia="仿宋" w:cs="仿宋"/>
                <w:sz w:val="24"/>
                <w:szCs w:val="24"/>
              </w:rPr>
            </w:pPr>
            <w:r>
              <w:rPr>
                <w:rFonts w:hint="eastAsia" w:ascii="仿宋" w:hAnsi="仿宋" w:eastAsia="仿宋" w:cs="仿宋"/>
                <w:sz w:val="24"/>
                <w:szCs w:val="24"/>
              </w:rPr>
              <w:t>机构</w:t>
            </w:r>
          </w:p>
        </w:tc>
        <w:tc>
          <w:tcPr>
            <w:tcW w:w="108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社会公益组织</w:t>
            </w:r>
          </w:p>
        </w:tc>
        <w:tc>
          <w:tcPr>
            <w:tcW w:w="111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法律服务机构</w:t>
            </w:r>
          </w:p>
        </w:tc>
        <w:tc>
          <w:tcPr>
            <w:tcW w:w="807"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709" w:type="dxa"/>
            <w:vMerge w:val="continue"/>
            <w:shd w:val="clear" w:color="auto" w:fill="auto"/>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bookmarkStart w:id="0" w:name="_GoBack"/>
            <w:r>
              <w:rPr>
                <w:rFonts w:hint="eastAsia" w:ascii="仿宋" w:hAnsi="仿宋" w:eastAsia="仿宋" w:cs="仿宋"/>
                <w:sz w:val="24"/>
                <w:szCs w:val="24"/>
              </w:rPr>
              <w:t>一</w:t>
            </w:r>
            <w:r>
              <w:rPr>
                <w:rFonts w:hint="eastAsia" w:ascii="仿宋" w:hAnsi="仿宋" w:eastAsia="仿宋" w:cs="仿宋"/>
                <w:sz w:val="24"/>
                <w:szCs w:val="24"/>
              </w:rPr>
              <w:t>、本年新收</w:t>
            </w:r>
            <w:bookmarkEnd w:id="0"/>
            <w:r>
              <w:rPr>
                <w:rFonts w:hint="eastAsia" w:ascii="仿宋" w:hAnsi="仿宋" w:eastAsia="仿宋" w:cs="仿宋"/>
                <w:sz w:val="24"/>
                <w:szCs w:val="24"/>
              </w:rPr>
              <w:t>政府信息公开申请数量</w:t>
            </w:r>
          </w:p>
        </w:tc>
        <w:tc>
          <w:tcPr>
            <w:tcW w:w="1053"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134"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hint="eastAsia"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rPr>
              <w:t>、上年结转政府信息公开申请数量</w:t>
            </w:r>
          </w:p>
        </w:tc>
        <w:tc>
          <w:tcPr>
            <w:tcW w:w="1053"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34"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181" w:type="dxa"/>
            <w:vMerge w:val="restart"/>
            <w:shd w:val="clear" w:color="auto" w:fill="auto"/>
          </w:tcPr>
          <w:p>
            <w:pPr>
              <w:spacing w:line="300" w:lineRule="exact"/>
              <w:rPr>
                <w:rFonts w:hint="eastAsia" w:ascii="仿宋" w:hAnsi="仿宋" w:eastAsia="仿宋" w:cs="仿宋"/>
                <w:sz w:val="24"/>
                <w:szCs w:val="24"/>
              </w:rPr>
            </w:pPr>
            <w:r>
              <w:rPr>
                <w:rFonts w:hint="eastAsia" w:ascii="仿宋" w:hAnsi="仿宋" w:eastAsia="仿宋" w:cs="仿宋"/>
                <w:sz w:val="24"/>
                <w:szCs w:val="24"/>
              </w:rPr>
              <w:t>三</w:t>
            </w:r>
            <w:r>
              <w:rPr>
                <w:rFonts w:hint="eastAsia" w:ascii="仿宋" w:hAnsi="仿宋" w:eastAsia="仿宋" w:cs="仿宋"/>
                <w:sz w:val="24"/>
                <w:szCs w:val="24"/>
              </w:rPr>
              <w:t>、本年度办理结果</w:t>
            </w: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（一）予以公开</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（二）部分公开（区分处理的，只记这一情形，不记其他情形）</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vAlign w:val="center"/>
          </w:tcPr>
          <w:p>
            <w:pPr>
              <w:spacing w:line="300" w:lineRule="exact"/>
              <w:rPr>
                <w:rFonts w:ascii="仿宋" w:hAnsi="仿宋" w:eastAsia="仿宋" w:cs="仿宋"/>
                <w:sz w:val="24"/>
                <w:szCs w:val="24"/>
              </w:rPr>
            </w:pPr>
            <w:r>
              <w:rPr>
                <w:rFonts w:hint="eastAsia" w:ascii="仿宋" w:hAnsi="仿宋" w:eastAsia="仿宋" w:cs="仿宋"/>
                <w:sz w:val="24"/>
                <w:szCs w:val="24"/>
              </w:rPr>
              <w:t>（三）不予公开</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1.属于国家秘密</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2.其他法律行政法规禁止公开</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3.危及“三安全一稳定”</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4.保护第三方合法权益</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5.属于三类内部事务信息</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6.属于四类过程性信息</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7.属于行政执法案卷</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8.属于行政查询事项</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（四）无法提供</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1.本机关不掌握相关政府信息</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2.没有现成信息需要另行制作</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3.补正后申请内容仍不明确</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（五）不予处理</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1.信访投诉举报类申请</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2.重复申请</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3.要求提供公开出版物</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4.无正当理由大量反复申请</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（六）其他处理</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（七）总计</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1</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68" w:type="dxa"/>
            <w:gridSpan w:val="3"/>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四</w:t>
            </w:r>
            <w:r>
              <w:rPr>
                <w:rFonts w:hint="eastAsia" w:ascii="仿宋" w:hAnsi="仿宋" w:eastAsia="仿宋" w:cs="仿宋"/>
                <w:sz w:val="24"/>
                <w:szCs w:val="24"/>
              </w:rPr>
              <w:t>、结转下年度继续办理</w:t>
            </w:r>
          </w:p>
        </w:tc>
        <w:tc>
          <w:tcPr>
            <w:tcW w:w="972"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bl>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top"/>
          </w:tcPr>
          <w:p>
            <w:pPr>
              <w:spacing w:line="30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568" w:type="dxa"/>
            <w:shd w:val="clear" w:color="auto" w:fill="auto"/>
            <w:vAlign w:val="top"/>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568" w:type="dxa"/>
            <w:shd w:val="clear" w:color="auto" w:fill="auto"/>
            <w:vAlign w:val="top"/>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568" w:type="dxa"/>
            <w:shd w:val="clear" w:color="auto" w:fill="auto"/>
            <w:vAlign w:val="top"/>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568" w:type="dxa"/>
            <w:shd w:val="clear" w:color="auto" w:fill="auto"/>
            <w:vAlign w:val="top"/>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568" w:type="dxa"/>
            <w:shd w:val="clear" w:color="auto" w:fill="auto"/>
            <w:vAlign w:val="top"/>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568" w:type="dxa"/>
            <w:shd w:val="clear" w:color="auto" w:fill="auto"/>
            <w:vAlign w:val="top"/>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568" w:type="dxa"/>
            <w:shd w:val="clear" w:color="auto" w:fill="auto"/>
            <w:vAlign w:val="top"/>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568" w:type="dxa"/>
            <w:shd w:val="clear" w:color="auto" w:fill="auto"/>
            <w:vAlign w:val="top"/>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568" w:type="dxa"/>
            <w:shd w:val="clear" w:color="auto" w:fill="auto"/>
            <w:vAlign w:val="top"/>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568" w:type="dxa"/>
            <w:shd w:val="clear" w:color="auto" w:fill="auto"/>
            <w:vAlign w:val="top"/>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568" w:type="dxa"/>
            <w:shd w:val="clear" w:color="auto" w:fill="auto"/>
            <w:vAlign w:val="top"/>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568" w:type="dxa"/>
            <w:shd w:val="clear" w:color="auto" w:fill="auto"/>
            <w:vAlign w:val="top"/>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568" w:type="dxa"/>
            <w:shd w:val="clear" w:color="auto" w:fill="auto"/>
            <w:vAlign w:val="top"/>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568" w:type="dxa"/>
            <w:shd w:val="clear" w:color="auto" w:fill="auto"/>
            <w:vAlign w:val="top"/>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lang w:val="en-US" w:eastAsia="zh-CN"/>
        </w:rPr>
        <w:t xml:space="preserve"> </w:t>
      </w:r>
      <w:r>
        <w:rPr>
          <w:rFonts w:hint="eastAsia" w:ascii="楷体" w:hAnsi="楷体" w:eastAsia="楷体" w:cs="楷体"/>
          <w:b/>
          <w:bCs w:val="0"/>
          <w:color w:val="333333"/>
          <w:sz w:val="32"/>
          <w:szCs w:val="32"/>
          <w:shd w:val="clear" w:color="auto" w:fill="FFFFFF"/>
          <w:lang w:eastAsia="zh-CN"/>
        </w:rPr>
        <w:t>存在的主要问题</w:t>
      </w:r>
      <w:r>
        <w:rPr>
          <w:rFonts w:hint="eastAsia" w:ascii="楷体" w:hAnsi="楷体" w:eastAsia="楷体" w:cs="楷体"/>
          <w:b/>
          <w:bCs w:val="0"/>
          <w:color w:val="333333"/>
          <w:sz w:val="32"/>
          <w:szCs w:val="32"/>
          <w:shd w:val="clear" w:color="auto" w:fill="FFFFFF"/>
        </w:rPr>
        <w:t>：</w:t>
      </w:r>
      <w:r>
        <w:rPr>
          <w:rFonts w:hint="eastAsia" w:ascii="宋体" w:hAnsi="宋体" w:eastAsia="宋体" w:cs="宋体"/>
          <w:i w:val="0"/>
          <w:caps w:val="0"/>
          <w:color w:val="000000" w:themeColor="text1"/>
          <w:spacing w:val="0"/>
          <w:sz w:val="32"/>
          <w:szCs w:val="32"/>
          <w:lang w:eastAsia="zh-CN"/>
          <w14:textFill>
            <w14:solidFill>
              <w14:schemeClr w14:val="tx1"/>
            </w14:solidFill>
          </w14:textFill>
        </w:rPr>
        <w:t>一是</w:t>
      </w:r>
      <w:r>
        <w:rPr>
          <w:rFonts w:hint="eastAsia" w:ascii="宋体" w:hAnsi="宋体" w:eastAsia="宋体" w:cs="宋体"/>
          <w:i w:val="0"/>
          <w:caps w:val="0"/>
          <w:color w:val="000000" w:themeColor="text1"/>
          <w:spacing w:val="0"/>
          <w:sz w:val="32"/>
          <w:szCs w:val="32"/>
          <w14:textFill>
            <w14:solidFill>
              <w14:schemeClr w14:val="tx1"/>
            </w14:solidFill>
          </w14:textFill>
        </w:rPr>
        <w:t>部分主动公开的信息内容还不够完善，部分信息的公开还不够及时，</w:t>
      </w:r>
      <w:r>
        <w:rPr>
          <w:rFonts w:hint="eastAsia" w:ascii="宋体" w:hAnsi="宋体" w:eastAsia="宋体" w:cs="宋体"/>
          <w:i w:val="0"/>
          <w:caps w:val="0"/>
          <w:color w:val="000000" w:themeColor="text1"/>
          <w:spacing w:val="0"/>
          <w:sz w:val="32"/>
          <w:szCs w:val="32"/>
          <w:lang w:eastAsia="zh-CN"/>
          <w14:textFill>
            <w14:solidFill>
              <w14:schemeClr w14:val="tx1"/>
            </w14:solidFill>
          </w14:textFill>
        </w:rPr>
        <w:t>公众知晓率不高；二是</w:t>
      </w:r>
      <w:r>
        <w:rPr>
          <w:rFonts w:hint="eastAsia" w:ascii="宋体" w:hAnsi="宋体" w:eastAsia="宋体" w:cs="宋体"/>
          <w:i w:val="0"/>
          <w:caps w:val="0"/>
          <w:color w:val="000000" w:themeColor="text1"/>
          <w:spacing w:val="0"/>
          <w:sz w:val="32"/>
          <w:szCs w:val="32"/>
          <w14:textFill>
            <w14:solidFill>
              <w14:schemeClr w14:val="tx1"/>
            </w14:solidFill>
          </w14:textFill>
        </w:rPr>
        <w:t>政府信息公开业务人员队伍建设有待加强。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宋体" w:hAnsi="宋体" w:eastAsia="宋体" w:cs="宋体"/>
          <w:i w:val="0"/>
          <w:caps w:val="0"/>
          <w:color w:val="333333"/>
          <w:spacing w:val="0"/>
          <w:sz w:val="32"/>
          <w:szCs w:val="32"/>
        </w:rPr>
      </w:pPr>
      <w:r>
        <w:rPr>
          <w:rFonts w:hint="eastAsia" w:ascii="楷体" w:hAnsi="楷体" w:eastAsia="楷体" w:cs="楷体"/>
          <w:b/>
          <w:bCs w:val="0"/>
          <w:color w:val="333333"/>
          <w:sz w:val="32"/>
          <w:szCs w:val="32"/>
          <w:shd w:val="clear" w:color="auto" w:fill="FFFFFF"/>
          <w:lang w:eastAsia="zh-CN"/>
        </w:rPr>
        <w:t>改进措施：</w:t>
      </w:r>
      <w:r>
        <w:rPr>
          <w:rFonts w:hint="eastAsia" w:ascii="宋体" w:hAnsi="宋体" w:eastAsia="宋体" w:cs="宋体"/>
          <w:i w:val="0"/>
          <w:caps w:val="0"/>
          <w:color w:val="000000" w:themeColor="text1"/>
          <w:spacing w:val="0"/>
          <w:sz w:val="32"/>
          <w:szCs w:val="32"/>
          <w:lang w:eastAsia="zh-CN"/>
          <w14:textFill>
            <w14:solidFill>
              <w14:schemeClr w14:val="tx1"/>
            </w14:solidFill>
          </w14:textFill>
        </w:rPr>
        <w:t>一是加大政府信息公开工作力度，逐步扩大政府信息公开的覆盖面和影响力；二是进一步提高政府信息公开业务人员的素质，做好信息公开的培训工作，并借鉴县直单位和其他乡镇场（街道）好的经验做法，推进工作持续深入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960" w:firstLineChars="300"/>
        <w:jc w:val="both"/>
        <w:rPr>
          <w:rFonts w:hint="default" w:ascii="宋体" w:hAnsi="宋体" w:eastAsia="宋体" w:cs="宋体"/>
          <w:i w:val="0"/>
          <w:caps w:val="0"/>
          <w:color w:val="000000" w:themeColor="text1"/>
          <w:spacing w:val="0"/>
          <w:sz w:val="32"/>
          <w:szCs w:val="32"/>
          <w:lang w:val="en-US" w:eastAsia="zh-CN"/>
          <w14:textFill>
            <w14:solidFill>
              <w14:schemeClr w14:val="tx1"/>
            </w14:solidFill>
          </w14:textFill>
        </w:rPr>
      </w:pPr>
      <w:r>
        <w:rPr>
          <w:rFonts w:hint="eastAsia" w:ascii="宋体" w:hAnsi="宋体" w:eastAsia="宋体" w:cs="宋体"/>
          <w:i w:val="0"/>
          <w:caps w:val="0"/>
          <w:color w:val="000000" w:themeColor="text1"/>
          <w:spacing w:val="0"/>
          <w:sz w:val="32"/>
          <w:szCs w:val="32"/>
          <w:lang w:eastAsia="zh-CN"/>
          <w14:textFill>
            <w14:solidFill>
              <w14:schemeClr w14:val="tx1"/>
            </w14:solidFill>
          </w14:textFill>
        </w:rPr>
        <w:t>无</w:t>
      </w:r>
      <w:r>
        <w:rPr>
          <w:rFonts w:hint="eastAsia" w:ascii="宋体" w:hAnsi="宋体" w:eastAsia="宋体" w:cs="宋体"/>
          <w:i w:val="0"/>
          <w:caps w:val="0"/>
          <w:color w:val="000000" w:themeColor="text1"/>
          <w:spacing w:val="0"/>
          <w:sz w:val="32"/>
          <w:szCs w:val="32"/>
          <w:lang w:val="en-US" w:eastAsia="zh-CN"/>
          <w14:textFill>
            <w14:solidFill>
              <w14:schemeClr w14:val="tx1"/>
            </w14:solidFill>
          </w14:textFill>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eastAsia="zh-CN"/>
        </w:rPr>
      </w:pPr>
    </w:p>
    <w:p>
      <w:pPr>
        <w:pStyle w:val="2"/>
        <w:pageBreakBefore w:val="0"/>
        <w:widowControl w:val="0"/>
        <w:kinsoku/>
        <w:wordWrap/>
        <w:overflowPunct/>
        <w:topLinePunct w:val="0"/>
        <w:autoSpaceDE/>
        <w:autoSpaceDN/>
        <w:bidi w:val="0"/>
        <w:adjustRightInd/>
        <w:snapToGrid/>
        <w:spacing w:line="600" w:lineRule="exact"/>
        <w:ind w:firstLine="5440" w:firstLineChars="1700"/>
        <w:textAlignment w:val="auto"/>
        <w:rPr>
          <w:rFonts w:hint="eastAsia" w:ascii="宋体" w:hAnsi="宋体" w:eastAsia="宋体" w:cs="宋体"/>
          <w:b w:val="0"/>
          <w:bCs w:val="0"/>
          <w:i w:val="0"/>
          <w:caps w:val="0"/>
          <w:color w:val="333333"/>
          <w:spacing w:val="0"/>
          <w:kern w:val="0"/>
          <w:sz w:val="32"/>
          <w:szCs w:val="32"/>
          <w:lang w:val="en-US" w:eastAsia="zh-CN" w:bidi="ar"/>
        </w:rPr>
      </w:pPr>
      <w:r>
        <w:rPr>
          <w:rFonts w:hint="eastAsia" w:ascii="宋体" w:hAnsi="宋体" w:eastAsia="宋体" w:cs="宋体"/>
          <w:b w:val="0"/>
          <w:bCs w:val="0"/>
          <w:i w:val="0"/>
          <w:caps w:val="0"/>
          <w:color w:val="333333"/>
          <w:spacing w:val="0"/>
          <w:kern w:val="0"/>
          <w:sz w:val="32"/>
          <w:szCs w:val="32"/>
          <w:lang w:val="en-US" w:eastAsia="zh-CN" w:bidi="ar"/>
        </w:rPr>
        <w:t>芦洲乡人民政府</w:t>
      </w:r>
    </w:p>
    <w:p>
      <w:pPr>
        <w:pageBreakBefore w:val="0"/>
        <w:widowControl w:val="0"/>
        <w:kinsoku/>
        <w:wordWrap/>
        <w:overflowPunct/>
        <w:topLinePunct w:val="0"/>
        <w:autoSpaceDE/>
        <w:autoSpaceDN/>
        <w:bidi w:val="0"/>
        <w:adjustRightInd/>
        <w:snapToGrid/>
        <w:spacing w:line="600" w:lineRule="exact"/>
        <w:ind w:firstLine="5440" w:firstLineChars="1700"/>
        <w:textAlignment w:val="auto"/>
        <w:rPr>
          <w:rFonts w:hint="default" w:ascii="宋体" w:hAnsi="宋体" w:eastAsia="宋体" w:cs="宋体"/>
          <w:b w:val="0"/>
          <w:bCs w:val="0"/>
          <w:i w:val="0"/>
          <w:caps w:val="0"/>
          <w:color w:val="333333"/>
          <w:spacing w:val="0"/>
          <w:kern w:val="0"/>
          <w:sz w:val="32"/>
          <w:szCs w:val="32"/>
          <w:lang w:val="en-US" w:eastAsia="zh-CN" w:bidi="ar"/>
        </w:rPr>
      </w:pPr>
      <w:r>
        <w:rPr>
          <w:rFonts w:hint="eastAsia" w:ascii="宋体" w:hAnsi="宋体" w:eastAsia="宋体" w:cs="宋体"/>
          <w:b w:val="0"/>
          <w:bCs w:val="0"/>
          <w:i w:val="0"/>
          <w:caps w:val="0"/>
          <w:color w:val="333333"/>
          <w:spacing w:val="0"/>
          <w:kern w:val="0"/>
          <w:sz w:val="32"/>
          <w:szCs w:val="32"/>
          <w:lang w:val="en-US" w:eastAsia="zh-CN" w:bidi="ar"/>
        </w:rPr>
        <w:t>2021年1月28日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E9A6B93"/>
    <w:rsid w:val="0F42566A"/>
    <w:rsid w:val="0FE32618"/>
    <w:rsid w:val="104967B5"/>
    <w:rsid w:val="1078620B"/>
    <w:rsid w:val="17534F7D"/>
    <w:rsid w:val="1B931963"/>
    <w:rsid w:val="23B06487"/>
    <w:rsid w:val="2480713E"/>
    <w:rsid w:val="29330931"/>
    <w:rsid w:val="33053472"/>
    <w:rsid w:val="39D961DF"/>
    <w:rsid w:val="3C35505F"/>
    <w:rsid w:val="3C85691A"/>
    <w:rsid w:val="48AB0703"/>
    <w:rsid w:val="4BB3253B"/>
    <w:rsid w:val="519D4381"/>
    <w:rsid w:val="566E50F8"/>
    <w:rsid w:val="56857A37"/>
    <w:rsid w:val="5FCE6A83"/>
    <w:rsid w:val="6EB526D3"/>
    <w:rsid w:val="6EC41F3F"/>
    <w:rsid w:val="700E0176"/>
    <w:rsid w:val="75750F81"/>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800080"/>
      <w:u w:val="none"/>
    </w:rPr>
  </w:style>
  <w:style w:type="character" w:styleId="7">
    <w:name w:val="Hyperlink"/>
    <w:basedOn w:val="5"/>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2021-01-29T02:08:54Z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