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方正小标宋简体" w:eastAsia="方正小标宋简体" w:cs="Times New Roman"/>
          <w:bCs/>
          <w:color w:val="000000"/>
          <w:sz w:val="44"/>
          <w:szCs w:val="44"/>
          <w:shd w:val="clear" w:color="auto" w:fill="FFFFFF"/>
        </w:rPr>
      </w:pPr>
      <w:r>
        <w:rPr>
          <w:rFonts w:hint="eastAsia" w:ascii="Times New Roman" w:hAnsi="方正小标宋简体" w:eastAsia="方正小标宋简体" w:cs="Times New Roman"/>
          <w:bCs/>
          <w:color w:val="000000"/>
          <w:sz w:val="44"/>
          <w:szCs w:val="44"/>
          <w:shd w:val="clear" w:color="auto" w:fill="FFFFFF"/>
        </w:rPr>
        <w:t>上高县</w:t>
      </w:r>
      <w:r>
        <w:rPr>
          <w:rFonts w:hint="eastAsia" w:ascii="Times New Roman" w:hAnsi="方正小标宋简体" w:eastAsia="方正小标宋简体" w:cs="Times New Roman"/>
          <w:bCs/>
          <w:color w:val="000000"/>
          <w:sz w:val="44"/>
          <w:szCs w:val="44"/>
          <w:shd w:val="clear" w:color="auto" w:fill="FFFFFF"/>
          <w:lang w:eastAsia="zh-CN"/>
        </w:rPr>
        <w:t>工信局</w:t>
      </w:r>
      <w:r>
        <w:rPr>
          <w:rFonts w:ascii="Times New Roman" w:hAnsi="Times New Roman" w:eastAsia="方正小标宋简体" w:cs="Times New Roman"/>
          <w:bCs/>
          <w:color w:val="000000"/>
          <w:sz w:val="44"/>
          <w:szCs w:val="44"/>
          <w:shd w:val="clear" w:color="auto" w:fill="FFFFFF"/>
        </w:rPr>
        <w:t>2019</w:t>
      </w:r>
      <w:r>
        <w:rPr>
          <w:rFonts w:hint="eastAsia" w:ascii="Times New Roman" w:hAnsi="方正小标宋简体" w:eastAsia="方正小标宋简体" w:cs="Times New Roman"/>
          <w:bCs/>
          <w:color w:val="000000"/>
          <w:sz w:val="44"/>
          <w:szCs w:val="44"/>
          <w:shd w:val="clear" w:color="auto" w:fill="FFFFFF"/>
        </w:rPr>
        <w:t>年政</w:t>
      </w:r>
      <w:r>
        <w:rPr>
          <w:rFonts w:hint="eastAsia" w:ascii="Times New Roman" w:hAnsi="方正小标宋简体" w:eastAsia="方正小标宋简体" w:cs="Times New Roman"/>
          <w:bCs/>
          <w:color w:val="000000"/>
          <w:sz w:val="44"/>
          <w:szCs w:val="44"/>
          <w:shd w:val="clear" w:color="auto" w:fill="FFFFFF"/>
          <w:lang w:eastAsia="zh-CN"/>
        </w:rPr>
        <w:t>务</w:t>
      </w:r>
      <w:r>
        <w:rPr>
          <w:rFonts w:hint="eastAsia" w:ascii="Times New Roman" w:hAnsi="方正小标宋简体" w:eastAsia="方正小标宋简体" w:cs="Times New Roman"/>
          <w:bCs/>
          <w:color w:val="000000"/>
          <w:sz w:val="44"/>
          <w:szCs w:val="44"/>
          <w:shd w:val="clear" w:color="auto" w:fill="FFFFFF"/>
        </w:rPr>
        <w:t>信息公开工作</w:t>
      </w:r>
    </w:p>
    <w:p>
      <w:pPr>
        <w:spacing w:line="560" w:lineRule="exact"/>
        <w:jc w:val="center"/>
        <w:rPr>
          <w:rFonts w:ascii="Times New Roman" w:hAnsi="Times New Roman" w:eastAsia="方正小标宋简体" w:cs="Times New Roman"/>
          <w:color w:val="000000"/>
          <w:sz w:val="44"/>
          <w:szCs w:val="44"/>
          <w:shd w:val="clear" w:color="auto" w:fill="FFFFFF"/>
        </w:rPr>
      </w:pPr>
      <w:r>
        <w:rPr>
          <w:rFonts w:hint="eastAsia" w:ascii="Times New Roman" w:hAnsi="方正小标宋简体" w:eastAsia="方正小标宋简体" w:cs="Times New Roman"/>
          <w:bCs/>
          <w:color w:val="000000"/>
          <w:sz w:val="44"/>
          <w:szCs w:val="44"/>
          <w:shd w:val="clear" w:color="auto" w:fill="FFFFFF"/>
        </w:rPr>
        <w:t>年度报告</w:t>
      </w:r>
    </w:p>
    <w:p>
      <w:pPr>
        <w:pStyle w:val="4"/>
        <w:shd w:val="clear" w:color="auto" w:fill="FFFFFF"/>
        <w:spacing w:beforeAutospacing="0" w:afterAutospacing="0" w:line="560" w:lineRule="exact"/>
        <w:jc w:val="center"/>
        <w:rPr>
          <w:rFonts w:ascii="Times New Roman" w:hAnsi="Times New Roman"/>
          <w:bCs/>
          <w:color w:val="000000"/>
          <w:sz w:val="32"/>
          <w:szCs w:val="32"/>
        </w:rPr>
      </w:pPr>
    </w:p>
    <w:p>
      <w:pPr>
        <w:widowControl/>
        <w:shd w:val="clear" w:color="auto" w:fill="FFFFFF"/>
        <w:spacing w:line="56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本报告由上高县</w:t>
      </w:r>
      <w:r>
        <w:rPr>
          <w:rFonts w:hint="eastAsia" w:ascii="Times New Roman" w:hAnsi="Times New Roman" w:eastAsia="仿宋_GB2312" w:cs="Times New Roman"/>
          <w:color w:val="000000"/>
          <w:kern w:val="0"/>
          <w:sz w:val="32"/>
          <w:szCs w:val="32"/>
          <w:lang w:eastAsia="zh-CN"/>
        </w:rPr>
        <w:t>上高县工业和信息化局</w:t>
      </w:r>
      <w:r>
        <w:rPr>
          <w:rFonts w:hint="eastAsia" w:ascii="Times New Roman" w:hAnsi="Times New Roman" w:eastAsia="仿宋_GB2312" w:cs="Times New Roman"/>
          <w:color w:val="000000"/>
          <w:kern w:val="0"/>
          <w:sz w:val="32"/>
          <w:szCs w:val="32"/>
        </w:rPr>
        <w:t>根据《中华人民共和国政府信息公开条例》</w:t>
      </w:r>
      <w:r>
        <w:rPr>
          <w:rFonts w:hint="eastAsia" w:ascii="Times New Roman" w:hAnsi="Times New Roman" w:eastAsia="仿宋_GB2312" w:cs="Times New Roman"/>
          <w:color w:val="000000"/>
          <w:sz w:val="32"/>
          <w:szCs w:val="32"/>
        </w:rPr>
        <w:t>（以下简称《条例》）、国务院办公厅政府信息与政务公开办公室《关于政府信息公开工作年度报告有关事项的通知》（国办公开办函〔</w:t>
      </w:r>
      <w:r>
        <w:rPr>
          <w:rFonts w:ascii="Times New Roman" w:hAnsi="Times New Roman" w:eastAsia="仿宋_GB2312" w:cs="Times New Roman"/>
          <w:color w:val="000000"/>
          <w:sz w:val="32"/>
          <w:szCs w:val="32"/>
        </w:rPr>
        <w:t>2019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60</w:t>
      </w:r>
      <w:r>
        <w:rPr>
          <w:rFonts w:hint="eastAsia" w:ascii="Times New Roman" w:hAnsi="Times New Roman" w:eastAsia="仿宋_GB2312" w:cs="Times New Roman"/>
          <w:color w:val="000000"/>
          <w:sz w:val="32"/>
          <w:szCs w:val="32"/>
        </w:rPr>
        <w:t>号）规定</w:t>
      </w:r>
      <w:r>
        <w:rPr>
          <w:rFonts w:hint="eastAsia" w:ascii="Times New Roman" w:hAnsi="Times New Roman" w:eastAsia="仿宋_GB2312" w:cs="Times New Roman"/>
          <w:color w:val="000000"/>
          <w:kern w:val="0"/>
          <w:sz w:val="32"/>
          <w:szCs w:val="32"/>
        </w:rPr>
        <w:t>编制。全文由总体情况、主动公开政府信息情况、收到和处理政府信息公开申请情况、政府信息公开行政复议、行政诉讼情况、政府信息公开工作存在的主要问题及改进情况、其他需要报告的事项等六部分组成。报告所列数据的统计期限自</w:t>
      </w:r>
      <w:r>
        <w:rPr>
          <w:rFonts w:ascii="Times New Roman" w:hAnsi="Times New Roman" w:eastAsia="仿宋_GB2312" w:cs="Times New Roman"/>
          <w:color w:val="000000"/>
          <w:kern w:val="0"/>
          <w:sz w:val="32"/>
          <w:szCs w:val="32"/>
        </w:rPr>
        <w:t>2019</w:t>
      </w:r>
      <w:r>
        <w:rPr>
          <w:rFonts w:hint="eastAsia" w:ascii="Times New Roman" w:hAnsi="Times New Roman" w:eastAsia="仿宋_GB2312" w:cs="Times New Roman"/>
          <w:color w:val="000000"/>
          <w:kern w:val="0"/>
          <w:sz w:val="32"/>
          <w:szCs w:val="32"/>
        </w:rPr>
        <w:t>年</w:t>
      </w: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月</w:t>
      </w: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日至</w:t>
      </w:r>
      <w:r>
        <w:rPr>
          <w:rFonts w:ascii="Times New Roman" w:hAnsi="Times New Roman" w:eastAsia="仿宋_GB2312" w:cs="Times New Roman"/>
          <w:color w:val="000000"/>
          <w:kern w:val="0"/>
          <w:sz w:val="32"/>
          <w:szCs w:val="32"/>
        </w:rPr>
        <w:t>2019</w:t>
      </w:r>
      <w:r>
        <w:rPr>
          <w:rFonts w:hint="eastAsia" w:ascii="Times New Roman" w:hAnsi="Times New Roman" w:eastAsia="仿宋_GB2312" w:cs="Times New Roman"/>
          <w:color w:val="000000"/>
          <w:kern w:val="0"/>
          <w:sz w:val="32"/>
          <w:szCs w:val="32"/>
        </w:rPr>
        <w:t>年</w:t>
      </w:r>
      <w:r>
        <w:rPr>
          <w:rFonts w:ascii="Times New Roman" w:hAnsi="Times New Roman" w:eastAsia="仿宋_GB2312" w:cs="Times New Roman"/>
          <w:color w:val="000000"/>
          <w:kern w:val="0"/>
          <w:sz w:val="32"/>
          <w:szCs w:val="32"/>
        </w:rPr>
        <w:t>12</w:t>
      </w:r>
      <w:r>
        <w:rPr>
          <w:rFonts w:hint="eastAsia" w:ascii="Times New Roman" w:hAnsi="Times New Roman" w:eastAsia="仿宋_GB2312" w:cs="Times New Roman"/>
          <w:color w:val="000000"/>
          <w:kern w:val="0"/>
          <w:sz w:val="32"/>
          <w:szCs w:val="32"/>
        </w:rPr>
        <w:t>月</w:t>
      </w:r>
      <w:r>
        <w:rPr>
          <w:rFonts w:ascii="Times New Roman" w:hAnsi="Times New Roman" w:eastAsia="仿宋_GB2312" w:cs="Times New Roman"/>
          <w:color w:val="000000"/>
          <w:kern w:val="0"/>
          <w:sz w:val="32"/>
          <w:szCs w:val="32"/>
        </w:rPr>
        <w:t>31</w:t>
      </w:r>
      <w:r>
        <w:rPr>
          <w:rFonts w:hint="eastAsia" w:ascii="Times New Roman" w:hAnsi="Times New Roman" w:eastAsia="仿宋_GB2312" w:cs="Times New Roman"/>
          <w:color w:val="000000"/>
          <w:kern w:val="0"/>
          <w:sz w:val="32"/>
          <w:szCs w:val="32"/>
        </w:rPr>
        <w:t>日。本报告通过上高县人民政府门户网（网址为</w:t>
      </w:r>
      <w:r>
        <w:rPr>
          <w:rFonts w:ascii="Times New Roman" w:hAnsi="Times New Roman" w:eastAsia="仿宋_GB2312" w:cs="Times New Roman"/>
          <w:color w:val="000000"/>
          <w:kern w:val="0"/>
          <w:sz w:val="32"/>
          <w:szCs w:val="32"/>
        </w:rPr>
        <w:t>http://www.shanggao.gov.cn</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上高县政府网</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政务微信等公共查阅场所予以公开。</w:t>
      </w:r>
    </w:p>
    <w:p>
      <w:pPr>
        <w:widowControl/>
        <w:shd w:val="clear" w:color="auto" w:fill="FFFFFF"/>
        <w:spacing w:line="560" w:lineRule="exact"/>
        <w:ind w:firstLine="640"/>
        <w:rPr>
          <w:rFonts w:ascii="Times New Roman" w:hAnsi="Times New Roman" w:eastAsia="黑体" w:cs="Times New Roman"/>
          <w:color w:val="000000"/>
          <w:kern w:val="0"/>
          <w:sz w:val="32"/>
          <w:szCs w:val="32"/>
        </w:rPr>
      </w:pPr>
      <w:r>
        <w:rPr>
          <w:rFonts w:hint="eastAsia" w:ascii="Times New Roman" w:hAnsi="黑体" w:eastAsia="黑体" w:cs="Times New Roman"/>
          <w:color w:val="000000"/>
          <w:kern w:val="0"/>
          <w:sz w:val="32"/>
          <w:szCs w:val="32"/>
        </w:rPr>
        <w:t>一、总体情况</w:t>
      </w:r>
    </w:p>
    <w:p>
      <w:pPr>
        <w:widowControl/>
        <w:shd w:val="clear" w:color="auto" w:fill="FFFFFF"/>
        <w:spacing w:line="56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2019</w:t>
      </w:r>
      <w:r>
        <w:rPr>
          <w:rFonts w:hint="eastAsia"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eastAsia="zh-CN"/>
        </w:rPr>
        <w:t>我局</w:t>
      </w:r>
      <w:r>
        <w:rPr>
          <w:rFonts w:hint="eastAsia" w:ascii="Times New Roman" w:hAnsi="Times New Roman" w:eastAsia="仿宋_GB2312" w:cs="Times New Roman"/>
          <w:color w:val="000000"/>
          <w:sz w:val="32"/>
          <w:szCs w:val="32"/>
        </w:rPr>
        <w:t>认真贯彻落实国务院、省政府关于政务公开工作的决策部署，根据《条例》、《江西省人民政府办公厅关于印发</w:t>
      </w:r>
      <w:r>
        <w:rPr>
          <w:rFonts w:ascii="Times New Roman" w:hAnsi="Times New Roman" w:eastAsia="仿宋_GB2312" w:cs="Times New Roman"/>
          <w:color w:val="000000"/>
          <w:sz w:val="32"/>
          <w:szCs w:val="32"/>
        </w:rPr>
        <w:t>2019</w:t>
      </w:r>
      <w:r>
        <w:rPr>
          <w:rFonts w:hint="eastAsia" w:ascii="Times New Roman" w:hAnsi="Times New Roman" w:eastAsia="仿宋_GB2312" w:cs="Times New Roman"/>
          <w:color w:val="000000"/>
          <w:sz w:val="32"/>
          <w:szCs w:val="32"/>
        </w:rPr>
        <w:t>年江西省政务公开工作要点的通知》（赣府厅字〔</w:t>
      </w:r>
      <w:r>
        <w:rPr>
          <w:rFonts w:ascii="Times New Roman" w:hAnsi="Times New Roman" w:eastAsia="仿宋_GB2312" w:cs="Times New Roman"/>
          <w:color w:val="000000"/>
          <w:sz w:val="32"/>
          <w:szCs w:val="32"/>
        </w:rPr>
        <w:t>2019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31</w:t>
      </w:r>
      <w:r>
        <w:rPr>
          <w:rFonts w:hint="eastAsia" w:ascii="Times New Roman" w:hAnsi="Times New Roman" w:eastAsia="仿宋_GB2312" w:cs="Times New Roman"/>
          <w:color w:val="000000"/>
          <w:sz w:val="32"/>
          <w:szCs w:val="32"/>
        </w:rPr>
        <w:t>号）要求，坚持</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以公开为常态，不公开为例外</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原则，紧紧围绕全县经济社会发展和群众关注关切，</w:t>
      </w:r>
      <w:r>
        <w:rPr>
          <w:rFonts w:hint="eastAsia" w:ascii="Times New Roman" w:hAnsi="Times New Roman" w:eastAsia="仿宋_GB2312" w:cs="Times New Roman"/>
          <w:color w:val="000000"/>
          <w:kern w:val="0"/>
          <w:sz w:val="32"/>
          <w:szCs w:val="32"/>
        </w:rPr>
        <w:t>加大公开力度，增强公开实效，规范平台建设，大力推进政务公开工作，积极促进经济社会持续健康发展和法治政府建设。</w:t>
      </w:r>
    </w:p>
    <w:p>
      <w:pPr>
        <w:widowControl/>
        <w:shd w:val="clear" w:color="auto" w:fill="FFFFFF"/>
        <w:spacing w:line="560" w:lineRule="exact"/>
        <w:ind w:firstLine="630" w:firstLineChars="196"/>
        <w:rPr>
          <w:rFonts w:ascii="Times New Roman" w:hAnsi="Times New Roman" w:eastAsia="楷体" w:cs="Times New Roman"/>
          <w:b/>
          <w:bCs/>
          <w:color w:val="000000"/>
          <w:kern w:val="0"/>
          <w:sz w:val="32"/>
          <w:szCs w:val="32"/>
        </w:rPr>
      </w:pPr>
      <w:r>
        <w:rPr>
          <w:rFonts w:hint="eastAsia" w:ascii="Times New Roman" w:hAnsi="楷体" w:eastAsia="楷体" w:cs="Times New Roman"/>
          <w:b/>
          <w:bCs/>
          <w:color w:val="000000"/>
          <w:kern w:val="0"/>
          <w:sz w:val="32"/>
          <w:szCs w:val="32"/>
        </w:rPr>
        <w:t>（一）加强组织领导，健全政务公开工作机制。</w:t>
      </w:r>
    </w:p>
    <w:p>
      <w:pPr>
        <w:widowControl/>
        <w:shd w:val="clear" w:color="auto" w:fill="FFFFFF"/>
        <w:spacing w:line="560" w:lineRule="exact"/>
        <w:ind w:firstLine="627" w:firstLineChars="196"/>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我局对政务公开工作高度重视，明确了分管领导及具体工作人员，按照“公正、公平、便民”的原则推进政务信息公开工作，积极配合政府的政务公开工作考核。</w:t>
      </w:r>
    </w:p>
    <w:p>
      <w:pPr>
        <w:widowControl/>
        <w:shd w:val="clear" w:color="auto" w:fill="FFFFFF"/>
        <w:spacing w:line="560" w:lineRule="exact"/>
        <w:ind w:firstLine="630" w:firstLineChars="196"/>
        <w:rPr>
          <w:rFonts w:ascii="Times New Roman" w:hAnsi="楷体" w:eastAsia="楷体" w:cs="Times New Roman"/>
          <w:b/>
          <w:bCs/>
          <w:color w:val="000000"/>
          <w:kern w:val="0"/>
          <w:sz w:val="32"/>
          <w:szCs w:val="32"/>
        </w:rPr>
      </w:pPr>
      <w:r>
        <w:rPr>
          <w:rFonts w:hint="eastAsia" w:ascii="Times New Roman" w:hAnsi="楷体" w:eastAsia="楷体" w:cs="Times New Roman"/>
          <w:b/>
          <w:bCs/>
          <w:color w:val="000000"/>
          <w:kern w:val="0"/>
          <w:sz w:val="32"/>
          <w:szCs w:val="32"/>
        </w:rPr>
        <w:t>（二）围绕</w:t>
      </w:r>
      <w:r>
        <w:rPr>
          <w:rFonts w:hint="eastAsia" w:ascii="Times New Roman" w:hAnsi="楷体" w:eastAsia="楷体" w:cs="Times New Roman"/>
          <w:b/>
          <w:bCs/>
          <w:color w:val="000000"/>
          <w:kern w:val="0"/>
          <w:sz w:val="32"/>
          <w:szCs w:val="32"/>
          <w:lang w:eastAsia="zh-CN"/>
        </w:rPr>
        <w:t>我局</w:t>
      </w:r>
      <w:r>
        <w:rPr>
          <w:rFonts w:hint="eastAsia" w:ascii="Times New Roman" w:hAnsi="楷体" w:eastAsia="楷体" w:cs="Times New Roman"/>
          <w:b/>
          <w:bCs/>
          <w:color w:val="000000"/>
          <w:kern w:val="0"/>
          <w:sz w:val="32"/>
          <w:szCs w:val="32"/>
        </w:rPr>
        <w:t>重点领域，</w:t>
      </w:r>
      <w:r>
        <w:rPr>
          <w:rFonts w:hint="eastAsia" w:ascii="Times New Roman" w:hAnsi="楷体" w:eastAsia="楷体" w:cs="Times New Roman"/>
          <w:b/>
          <w:bCs/>
          <w:color w:val="000000"/>
          <w:kern w:val="0"/>
          <w:sz w:val="32"/>
          <w:szCs w:val="32"/>
          <w:lang w:eastAsia="zh-CN"/>
        </w:rPr>
        <w:t>积极</w:t>
      </w:r>
      <w:r>
        <w:rPr>
          <w:rFonts w:hint="eastAsia" w:ascii="Times New Roman" w:hAnsi="楷体" w:eastAsia="楷体" w:cs="Times New Roman"/>
          <w:b/>
          <w:bCs/>
          <w:color w:val="000000"/>
          <w:kern w:val="0"/>
          <w:sz w:val="32"/>
          <w:szCs w:val="32"/>
        </w:rPr>
        <w:t>加大主动公开力度。</w:t>
      </w:r>
    </w:p>
    <w:p>
      <w:pPr>
        <w:widowControl/>
        <w:shd w:val="clear" w:color="auto" w:fill="FFFFFF"/>
        <w:spacing w:line="560" w:lineRule="exact"/>
        <w:ind w:firstLine="627" w:firstLineChars="196"/>
        <w:rPr>
          <w:rFonts w:hint="eastAsia" w:ascii="Times New Roman" w:hAnsi="Times New Roman" w:eastAsia="楷体" w:cs="Times New Roman"/>
          <w:b/>
          <w:bCs/>
          <w:color w:val="000000"/>
          <w:kern w:val="0"/>
          <w:sz w:val="32"/>
          <w:szCs w:val="32"/>
          <w:lang w:eastAsia="zh-CN"/>
        </w:rPr>
      </w:pPr>
      <w:r>
        <w:rPr>
          <w:rFonts w:ascii="Times New Roman" w:hAnsi="Times New Roman" w:eastAsia="楷体" w:cs="Times New Roman"/>
          <w:color w:val="000000"/>
          <w:sz w:val="32"/>
          <w:szCs w:val="32"/>
        </w:rPr>
        <w:t xml:space="preserve">1. </w:t>
      </w:r>
      <w:r>
        <w:rPr>
          <w:rFonts w:hint="eastAsia" w:ascii="Times New Roman" w:hAnsi="楷体" w:eastAsia="楷体" w:cs="Times New Roman"/>
          <w:color w:val="000000"/>
          <w:sz w:val="32"/>
          <w:szCs w:val="32"/>
          <w:lang w:eastAsia="zh-CN"/>
        </w:rPr>
        <w:t>围绕项目建设，主动加大企业技术改造转型升级、工业项目集中开（竣）工方向的政务信息公开力度。</w:t>
      </w:r>
    </w:p>
    <w:p>
      <w:pPr>
        <w:widowControl/>
        <w:shd w:val="clear" w:color="auto" w:fill="FFFFFF"/>
        <w:spacing w:line="560" w:lineRule="exact"/>
        <w:ind w:firstLine="640"/>
        <w:rPr>
          <w:rFonts w:hint="eastAsia" w:ascii="Times New Roman" w:hAnsi="Times New Roman" w:eastAsia="楷体" w:cs="Times New Roman"/>
          <w:color w:val="000000"/>
          <w:kern w:val="0"/>
          <w:sz w:val="32"/>
          <w:szCs w:val="32"/>
          <w:lang w:eastAsia="zh-CN"/>
        </w:rPr>
      </w:pPr>
      <w:r>
        <w:rPr>
          <w:rFonts w:ascii="Times New Roman" w:hAnsi="Times New Roman" w:eastAsia="楷体" w:cs="Times New Roman"/>
          <w:color w:val="000000"/>
          <w:sz w:val="32"/>
          <w:szCs w:val="32"/>
        </w:rPr>
        <w:t xml:space="preserve">2. </w:t>
      </w:r>
      <w:r>
        <w:rPr>
          <w:rFonts w:hint="eastAsia" w:ascii="Times New Roman" w:hAnsi="楷体" w:eastAsia="楷体" w:cs="Times New Roman"/>
          <w:color w:val="000000"/>
          <w:sz w:val="32"/>
          <w:szCs w:val="32"/>
          <w:lang w:eastAsia="zh-CN"/>
        </w:rPr>
        <w:t>切实抓好企业环保治理、安全生产，做到了应公开、尽公开。</w:t>
      </w:r>
    </w:p>
    <w:p>
      <w:pPr>
        <w:widowControl/>
        <w:shd w:val="clear" w:color="auto" w:fill="FFFFFF"/>
        <w:spacing w:line="560" w:lineRule="exact"/>
        <w:ind w:firstLine="630" w:firstLineChars="196"/>
        <w:rPr>
          <w:rFonts w:ascii="Times New Roman" w:hAnsi="Times New Roman" w:eastAsia="楷体" w:cs="Times New Roman"/>
          <w:b/>
          <w:bCs/>
          <w:color w:val="000000"/>
          <w:kern w:val="0"/>
          <w:sz w:val="32"/>
          <w:szCs w:val="32"/>
        </w:rPr>
      </w:pPr>
      <w:r>
        <w:rPr>
          <w:rFonts w:hint="eastAsia" w:ascii="Times New Roman" w:hAnsi="楷体" w:eastAsia="楷体" w:cs="Times New Roman"/>
          <w:b/>
          <w:bCs/>
          <w:color w:val="000000"/>
          <w:kern w:val="0"/>
          <w:sz w:val="32"/>
          <w:szCs w:val="32"/>
        </w:rPr>
        <w:t>（三）</w:t>
      </w:r>
      <w:r>
        <w:rPr>
          <w:rFonts w:hint="eastAsia" w:ascii="Times New Roman" w:hAnsi="楷体" w:eastAsia="楷体" w:cs="Times New Roman"/>
          <w:b/>
          <w:bCs/>
          <w:color w:val="000000"/>
          <w:kern w:val="0"/>
          <w:sz w:val="32"/>
          <w:szCs w:val="32"/>
          <w:lang w:eastAsia="zh-CN"/>
        </w:rPr>
        <w:t>规范有序开展政务公报工作</w:t>
      </w:r>
      <w:r>
        <w:rPr>
          <w:rFonts w:hint="eastAsia" w:ascii="Times New Roman" w:hAnsi="楷体" w:eastAsia="楷体" w:cs="Times New Roman"/>
          <w:b/>
          <w:bCs/>
          <w:color w:val="000000"/>
          <w:kern w:val="0"/>
          <w:sz w:val="32"/>
          <w:szCs w:val="32"/>
        </w:rPr>
        <w:t>。</w:t>
      </w:r>
    </w:p>
    <w:p>
      <w:pPr>
        <w:widowControl/>
        <w:shd w:val="clear" w:color="auto" w:fill="FFFFFF"/>
        <w:spacing w:line="560" w:lineRule="exact"/>
        <w:ind w:firstLine="627" w:firstLineChars="196"/>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eastAsia="zh-CN"/>
        </w:rPr>
        <w:t>按照《上高县人民政府办公室关于印发上高县上高县人民政府公报管理制度通知》，我局严格按通知要求，有效促进了公报工作的科学化、规范化、制度化，全面提升电子版公报的规范性、美观性和查询阅读的便利性、准确性。</w:t>
      </w:r>
    </w:p>
    <w:p>
      <w:pPr>
        <w:widowControl/>
        <w:shd w:val="clear" w:color="auto" w:fill="FFFFFF"/>
        <w:spacing w:line="560" w:lineRule="exact"/>
        <w:ind w:firstLine="640"/>
        <w:rPr>
          <w:rFonts w:ascii="Times New Roman" w:hAnsi="Times New Roman" w:eastAsia="黑体" w:cs="Times New Roman"/>
          <w:color w:val="000000"/>
          <w:kern w:val="0"/>
          <w:sz w:val="32"/>
          <w:szCs w:val="32"/>
        </w:rPr>
      </w:pPr>
      <w:r>
        <w:rPr>
          <w:rFonts w:hint="eastAsia" w:ascii="Times New Roman" w:hAnsi="黑体" w:eastAsia="黑体" w:cs="Times New Roman"/>
          <w:color w:val="000000"/>
          <w:kern w:val="0"/>
          <w:sz w:val="32"/>
          <w:szCs w:val="32"/>
        </w:rPr>
        <w:t>二、主动公开政府信息情况</w:t>
      </w:r>
    </w:p>
    <w:tbl>
      <w:tblPr>
        <w:tblStyle w:val="5"/>
        <w:tblW w:w="9059" w:type="dxa"/>
        <w:jc w:val="center"/>
        <w:tblLayout w:type="fixed"/>
        <w:tblCellMar>
          <w:top w:w="0" w:type="dxa"/>
          <w:left w:w="0" w:type="dxa"/>
          <w:bottom w:w="0" w:type="dxa"/>
          <w:right w:w="0" w:type="dxa"/>
        </w:tblCellMar>
      </w:tblPr>
      <w:tblGrid>
        <w:gridCol w:w="3493"/>
        <w:gridCol w:w="1855"/>
        <w:gridCol w:w="928"/>
        <w:gridCol w:w="927"/>
        <w:gridCol w:w="1856"/>
      </w:tblGrid>
      <w:tr>
        <w:tblPrEx>
          <w:tblCellMar>
            <w:top w:w="0" w:type="dxa"/>
            <w:left w:w="0" w:type="dxa"/>
            <w:bottom w:w="0" w:type="dxa"/>
            <w:right w:w="0" w:type="dxa"/>
          </w:tblCellMar>
        </w:tblPrEx>
        <w:trPr>
          <w:trHeight w:val="495" w:hRule="atLeast"/>
          <w:jc w:val="center"/>
        </w:trPr>
        <w:tc>
          <w:tcPr>
            <w:tcW w:w="9059"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第二十条第（一）项</w:t>
            </w:r>
          </w:p>
        </w:tc>
      </w:tr>
      <w:tr>
        <w:tblPrEx>
          <w:tblCellMar>
            <w:top w:w="0" w:type="dxa"/>
            <w:left w:w="0" w:type="dxa"/>
            <w:bottom w:w="0" w:type="dxa"/>
            <w:right w:w="0" w:type="dxa"/>
          </w:tblCellMar>
        </w:tblPrEx>
        <w:trPr>
          <w:trHeight w:val="637" w:hRule="atLeast"/>
          <w:jc w:val="center"/>
        </w:trPr>
        <w:tc>
          <w:tcPr>
            <w:tcW w:w="34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信息内容</w:t>
            </w:r>
          </w:p>
        </w:tc>
        <w:tc>
          <w:tcPr>
            <w:tcW w:w="185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本年新</w:t>
            </w:r>
            <w:r>
              <w:rPr>
                <w:rFonts w:ascii="Times New Roman" w:hAnsi="Times New Roman" w:eastAsia="仿宋_GB2312" w:cs="Times New Roman"/>
                <w:color w:val="000000"/>
                <w:kern w:val="0"/>
                <w:sz w:val="28"/>
                <w:szCs w:val="28"/>
              </w:rPr>
              <w:br w:type="textWrapping"/>
            </w:r>
            <w:r>
              <w:rPr>
                <w:rFonts w:hint="eastAsia" w:ascii="Times New Roman" w:hAnsi="Times New Roman" w:eastAsia="仿宋_GB2312" w:cs="Times New Roman"/>
                <w:color w:val="000000"/>
                <w:kern w:val="0"/>
                <w:sz w:val="28"/>
                <w:szCs w:val="28"/>
              </w:rPr>
              <w:t>制作数量</w:t>
            </w:r>
          </w:p>
        </w:tc>
        <w:tc>
          <w:tcPr>
            <w:tcW w:w="1855"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本年新</w:t>
            </w:r>
            <w:r>
              <w:rPr>
                <w:rFonts w:ascii="Times New Roman" w:hAnsi="Times New Roman" w:eastAsia="仿宋_GB2312" w:cs="Times New Roman"/>
                <w:color w:val="000000"/>
                <w:kern w:val="0"/>
                <w:sz w:val="28"/>
                <w:szCs w:val="28"/>
              </w:rPr>
              <w:br w:type="textWrapping"/>
            </w:r>
            <w:r>
              <w:rPr>
                <w:rFonts w:hint="eastAsia" w:ascii="Times New Roman" w:hAnsi="Times New Roman" w:eastAsia="仿宋_GB2312" w:cs="Times New Roman"/>
                <w:color w:val="000000"/>
                <w:kern w:val="0"/>
                <w:sz w:val="28"/>
                <w:szCs w:val="28"/>
              </w:rPr>
              <w:t>公开数量</w:t>
            </w:r>
          </w:p>
        </w:tc>
        <w:tc>
          <w:tcPr>
            <w:tcW w:w="185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对外公开总数量</w:t>
            </w:r>
          </w:p>
        </w:tc>
      </w:tr>
      <w:tr>
        <w:tblPrEx>
          <w:tblCellMar>
            <w:top w:w="0" w:type="dxa"/>
            <w:left w:w="0" w:type="dxa"/>
            <w:bottom w:w="0" w:type="dxa"/>
            <w:right w:w="0" w:type="dxa"/>
          </w:tblCellMar>
        </w:tblPrEx>
        <w:trPr>
          <w:trHeight w:val="525" w:hRule="atLeast"/>
          <w:jc w:val="center"/>
        </w:trPr>
        <w:tc>
          <w:tcPr>
            <w:tcW w:w="34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规章</w:t>
            </w:r>
          </w:p>
        </w:tc>
        <w:tc>
          <w:tcPr>
            <w:tcW w:w="185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0</w:t>
            </w:r>
          </w:p>
        </w:tc>
        <w:tc>
          <w:tcPr>
            <w:tcW w:w="185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0</w:t>
            </w:r>
          </w:p>
        </w:tc>
        <w:tc>
          <w:tcPr>
            <w:tcW w:w="185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0</w:t>
            </w:r>
          </w:p>
        </w:tc>
      </w:tr>
      <w:tr>
        <w:tblPrEx>
          <w:tblCellMar>
            <w:top w:w="0" w:type="dxa"/>
            <w:left w:w="0" w:type="dxa"/>
            <w:bottom w:w="0" w:type="dxa"/>
            <w:right w:w="0" w:type="dxa"/>
          </w:tblCellMar>
        </w:tblPrEx>
        <w:trPr>
          <w:trHeight w:val="525" w:hRule="atLeast"/>
          <w:jc w:val="center"/>
        </w:trPr>
        <w:tc>
          <w:tcPr>
            <w:tcW w:w="34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规范性文件</w:t>
            </w:r>
          </w:p>
        </w:tc>
        <w:tc>
          <w:tcPr>
            <w:tcW w:w="185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0</w:t>
            </w:r>
          </w:p>
        </w:tc>
        <w:tc>
          <w:tcPr>
            <w:tcW w:w="185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0</w:t>
            </w:r>
          </w:p>
        </w:tc>
        <w:tc>
          <w:tcPr>
            <w:tcW w:w="185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0</w:t>
            </w:r>
          </w:p>
        </w:tc>
      </w:tr>
      <w:tr>
        <w:tblPrEx>
          <w:tblCellMar>
            <w:top w:w="0" w:type="dxa"/>
            <w:left w:w="0" w:type="dxa"/>
            <w:bottom w:w="0" w:type="dxa"/>
            <w:right w:w="0" w:type="dxa"/>
          </w:tblCellMar>
        </w:tblPrEx>
        <w:trPr>
          <w:trHeight w:val="480" w:hRule="atLeast"/>
          <w:jc w:val="center"/>
        </w:trPr>
        <w:tc>
          <w:tcPr>
            <w:tcW w:w="9059"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第二十条第（五）项</w:t>
            </w:r>
          </w:p>
        </w:tc>
      </w:tr>
      <w:tr>
        <w:tblPrEx>
          <w:tblCellMar>
            <w:top w:w="0" w:type="dxa"/>
            <w:left w:w="0" w:type="dxa"/>
            <w:bottom w:w="0" w:type="dxa"/>
            <w:right w:w="0" w:type="dxa"/>
          </w:tblCellMar>
        </w:tblPrEx>
        <w:trPr>
          <w:trHeight w:val="634" w:hRule="atLeast"/>
          <w:jc w:val="center"/>
        </w:trPr>
        <w:tc>
          <w:tcPr>
            <w:tcW w:w="34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信息内容</w:t>
            </w:r>
          </w:p>
        </w:tc>
        <w:tc>
          <w:tcPr>
            <w:tcW w:w="185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上一年项目数量</w:t>
            </w:r>
          </w:p>
        </w:tc>
        <w:tc>
          <w:tcPr>
            <w:tcW w:w="1855"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本年增</w:t>
            </w:r>
            <w:r>
              <w:rPr>
                <w:rFonts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rPr>
              <w:t>减</w:t>
            </w:r>
          </w:p>
        </w:tc>
        <w:tc>
          <w:tcPr>
            <w:tcW w:w="185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处理决定数量</w:t>
            </w:r>
          </w:p>
        </w:tc>
      </w:tr>
      <w:tr>
        <w:tblPrEx>
          <w:tblCellMar>
            <w:top w:w="0" w:type="dxa"/>
            <w:left w:w="0" w:type="dxa"/>
            <w:bottom w:w="0" w:type="dxa"/>
            <w:right w:w="0" w:type="dxa"/>
          </w:tblCellMar>
        </w:tblPrEx>
        <w:trPr>
          <w:trHeight w:val="449" w:hRule="atLeast"/>
          <w:jc w:val="center"/>
        </w:trPr>
        <w:tc>
          <w:tcPr>
            <w:tcW w:w="34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行政许可</w:t>
            </w:r>
          </w:p>
        </w:tc>
        <w:tc>
          <w:tcPr>
            <w:tcW w:w="185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0</w:t>
            </w:r>
          </w:p>
        </w:tc>
        <w:tc>
          <w:tcPr>
            <w:tcW w:w="185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0</w:t>
            </w:r>
          </w:p>
        </w:tc>
        <w:tc>
          <w:tcPr>
            <w:tcW w:w="185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w:t>
            </w:r>
          </w:p>
        </w:tc>
      </w:tr>
      <w:tr>
        <w:tblPrEx>
          <w:tblCellMar>
            <w:top w:w="0" w:type="dxa"/>
            <w:left w:w="0" w:type="dxa"/>
            <w:bottom w:w="0" w:type="dxa"/>
            <w:right w:w="0" w:type="dxa"/>
          </w:tblCellMar>
        </w:tblPrEx>
        <w:trPr>
          <w:trHeight w:val="498" w:hRule="atLeast"/>
          <w:jc w:val="center"/>
        </w:trPr>
        <w:tc>
          <w:tcPr>
            <w:tcW w:w="34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其他对外管理服务事项</w:t>
            </w:r>
          </w:p>
        </w:tc>
        <w:tc>
          <w:tcPr>
            <w:tcW w:w="185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w:t>
            </w:r>
            <w:bookmarkStart w:id="0" w:name="_GoBack"/>
            <w:bookmarkEnd w:id="0"/>
          </w:p>
        </w:tc>
        <w:tc>
          <w:tcPr>
            <w:tcW w:w="185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w:t>
            </w:r>
          </w:p>
        </w:tc>
        <w:tc>
          <w:tcPr>
            <w:tcW w:w="185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0</w:t>
            </w:r>
          </w:p>
        </w:tc>
      </w:tr>
      <w:tr>
        <w:tblPrEx>
          <w:tblCellMar>
            <w:top w:w="0" w:type="dxa"/>
            <w:left w:w="0" w:type="dxa"/>
            <w:bottom w:w="0" w:type="dxa"/>
            <w:right w:w="0" w:type="dxa"/>
          </w:tblCellMar>
        </w:tblPrEx>
        <w:trPr>
          <w:trHeight w:val="406" w:hRule="atLeast"/>
          <w:jc w:val="center"/>
        </w:trPr>
        <w:tc>
          <w:tcPr>
            <w:tcW w:w="9059"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第二十条第（六）项</w:t>
            </w:r>
          </w:p>
        </w:tc>
      </w:tr>
      <w:tr>
        <w:tblPrEx>
          <w:tblCellMar>
            <w:top w:w="0" w:type="dxa"/>
            <w:left w:w="0" w:type="dxa"/>
            <w:bottom w:w="0" w:type="dxa"/>
            <w:right w:w="0" w:type="dxa"/>
          </w:tblCellMar>
        </w:tblPrEx>
        <w:trPr>
          <w:trHeight w:val="639" w:hRule="atLeast"/>
          <w:jc w:val="center"/>
        </w:trPr>
        <w:tc>
          <w:tcPr>
            <w:tcW w:w="34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信息内容</w:t>
            </w:r>
          </w:p>
        </w:tc>
        <w:tc>
          <w:tcPr>
            <w:tcW w:w="1855"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上一年项目数量</w:t>
            </w:r>
          </w:p>
        </w:tc>
        <w:tc>
          <w:tcPr>
            <w:tcW w:w="1855"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本年增</w:t>
            </w:r>
            <w:r>
              <w:rPr>
                <w:rFonts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rPr>
              <w:t>减</w:t>
            </w:r>
          </w:p>
        </w:tc>
        <w:tc>
          <w:tcPr>
            <w:tcW w:w="185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处理决定数量</w:t>
            </w:r>
          </w:p>
        </w:tc>
      </w:tr>
      <w:tr>
        <w:tblPrEx>
          <w:tblCellMar>
            <w:top w:w="0" w:type="dxa"/>
            <w:left w:w="0" w:type="dxa"/>
            <w:bottom w:w="0" w:type="dxa"/>
            <w:right w:w="0" w:type="dxa"/>
          </w:tblCellMar>
        </w:tblPrEx>
        <w:trPr>
          <w:trHeight w:val="430" w:hRule="atLeast"/>
          <w:jc w:val="center"/>
        </w:trPr>
        <w:tc>
          <w:tcPr>
            <w:tcW w:w="34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行政处罚</w:t>
            </w:r>
          </w:p>
        </w:tc>
        <w:tc>
          <w:tcPr>
            <w:tcW w:w="185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0</w:t>
            </w:r>
          </w:p>
        </w:tc>
        <w:tc>
          <w:tcPr>
            <w:tcW w:w="185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0</w:t>
            </w:r>
          </w:p>
        </w:tc>
        <w:tc>
          <w:tcPr>
            <w:tcW w:w="185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0</w:t>
            </w:r>
          </w:p>
        </w:tc>
      </w:tr>
      <w:tr>
        <w:tblPrEx>
          <w:tblCellMar>
            <w:top w:w="0" w:type="dxa"/>
            <w:left w:w="0" w:type="dxa"/>
            <w:bottom w:w="0" w:type="dxa"/>
            <w:right w:w="0" w:type="dxa"/>
          </w:tblCellMar>
        </w:tblPrEx>
        <w:trPr>
          <w:trHeight w:val="409" w:hRule="atLeast"/>
          <w:jc w:val="center"/>
        </w:trPr>
        <w:tc>
          <w:tcPr>
            <w:tcW w:w="34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行政强制</w:t>
            </w:r>
          </w:p>
        </w:tc>
        <w:tc>
          <w:tcPr>
            <w:tcW w:w="1855"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0</w:t>
            </w:r>
          </w:p>
        </w:tc>
        <w:tc>
          <w:tcPr>
            <w:tcW w:w="1855"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0</w:t>
            </w:r>
          </w:p>
        </w:tc>
        <w:tc>
          <w:tcPr>
            <w:tcW w:w="1856"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0</w:t>
            </w:r>
          </w:p>
        </w:tc>
      </w:tr>
      <w:tr>
        <w:tblPrEx>
          <w:tblCellMar>
            <w:top w:w="0" w:type="dxa"/>
            <w:left w:w="0" w:type="dxa"/>
            <w:bottom w:w="0" w:type="dxa"/>
            <w:right w:w="0" w:type="dxa"/>
          </w:tblCellMar>
        </w:tblPrEx>
        <w:trPr>
          <w:trHeight w:val="336" w:hRule="atLeast"/>
          <w:jc w:val="center"/>
        </w:trPr>
        <w:tc>
          <w:tcPr>
            <w:tcW w:w="9059"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第二十条第（八）项</w:t>
            </w:r>
          </w:p>
        </w:tc>
      </w:tr>
      <w:tr>
        <w:tblPrEx>
          <w:tblCellMar>
            <w:top w:w="0" w:type="dxa"/>
            <w:left w:w="0" w:type="dxa"/>
            <w:bottom w:w="0" w:type="dxa"/>
            <w:right w:w="0" w:type="dxa"/>
          </w:tblCellMar>
        </w:tblPrEx>
        <w:trPr>
          <w:trHeight w:val="613" w:hRule="atLeast"/>
          <w:jc w:val="center"/>
        </w:trPr>
        <w:tc>
          <w:tcPr>
            <w:tcW w:w="34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信息内容</w:t>
            </w:r>
          </w:p>
        </w:tc>
        <w:tc>
          <w:tcPr>
            <w:tcW w:w="278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上一年项目数量</w:t>
            </w:r>
          </w:p>
        </w:tc>
        <w:tc>
          <w:tcPr>
            <w:tcW w:w="2783" w:type="dxa"/>
            <w:gridSpan w:val="2"/>
            <w:tcBorders>
              <w:top w:val="single" w:color="auto" w:sz="8" w:space="0"/>
              <w:left w:val="nil"/>
              <w:bottom w:val="single" w:color="auto" w:sz="8" w:space="0"/>
              <w:right w:val="single" w:color="000000"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本年增</w:t>
            </w:r>
            <w:r>
              <w:rPr>
                <w:rFonts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rPr>
              <w:t>减</w:t>
            </w:r>
          </w:p>
        </w:tc>
      </w:tr>
      <w:tr>
        <w:tblPrEx>
          <w:tblCellMar>
            <w:top w:w="0" w:type="dxa"/>
            <w:left w:w="0" w:type="dxa"/>
            <w:bottom w:w="0" w:type="dxa"/>
            <w:right w:w="0" w:type="dxa"/>
          </w:tblCellMar>
        </w:tblPrEx>
        <w:trPr>
          <w:trHeight w:val="551" w:hRule="atLeast"/>
          <w:jc w:val="center"/>
        </w:trPr>
        <w:tc>
          <w:tcPr>
            <w:tcW w:w="349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行政事业性收费</w:t>
            </w:r>
          </w:p>
        </w:tc>
        <w:tc>
          <w:tcPr>
            <w:tcW w:w="2783"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0</w:t>
            </w:r>
          </w:p>
        </w:tc>
        <w:tc>
          <w:tcPr>
            <w:tcW w:w="2783" w:type="dxa"/>
            <w:gridSpan w:val="2"/>
            <w:tcBorders>
              <w:top w:val="nil"/>
              <w:left w:val="nil"/>
              <w:bottom w:val="single" w:color="auto" w:sz="8" w:space="0"/>
              <w:right w:val="single" w:color="000000" w:sz="8" w:space="0"/>
            </w:tcBorders>
            <w:shd w:val="clear" w:color="auto" w:fill="FFFFFF"/>
            <w:tcMar>
              <w:left w:w="108" w:type="dxa"/>
              <w:right w:w="108" w:type="dxa"/>
            </w:tcMar>
            <w:vAlign w:val="center"/>
          </w:tcPr>
          <w:p>
            <w:pPr>
              <w:widowControl/>
              <w:spacing w:line="400" w:lineRule="exact"/>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0</w:t>
            </w:r>
          </w:p>
        </w:tc>
      </w:tr>
      <w:tr>
        <w:tblPrEx>
          <w:tblCellMar>
            <w:top w:w="0" w:type="dxa"/>
            <w:left w:w="0" w:type="dxa"/>
            <w:bottom w:w="0" w:type="dxa"/>
            <w:right w:w="0" w:type="dxa"/>
          </w:tblCellMar>
        </w:tblPrEx>
        <w:trPr>
          <w:trHeight w:val="476" w:hRule="atLeast"/>
          <w:jc w:val="center"/>
        </w:trPr>
        <w:tc>
          <w:tcPr>
            <w:tcW w:w="9059" w:type="dxa"/>
            <w:gridSpan w:val="5"/>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第二十条第（九）项</w:t>
            </w:r>
          </w:p>
        </w:tc>
      </w:tr>
      <w:tr>
        <w:tblPrEx>
          <w:tblCellMar>
            <w:top w:w="0" w:type="dxa"/>
            <w:left w:w="0" w:type="dxa"/>
            <w:bottom w:w="0" w:type="dxa"/>
            <w:right w:w="0" w:type="dxa"/>
          </w:tblCellMar>
        </w:tblPrEx>
        <w:trPr>
          <w:trHeight w:val="607" w:hRule="atLeast"/>
          <w:jc w:val="center"/>
        </w:trPr>
        <w:tc>
          <w:tcPr>
            <w:tcW w:w="34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信息内容</w:t>
            </w:r>
          </w:p>
        </w:tc>
        <w:tc>
          <w:tcPr>
            <w:tcW w:w="278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采购项目数量</w:t>
            </w:r>
          </w:p>
        </w:tc>
        <w:tc>
          <w:tcPr>
            <w:tcW w:w="278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采购总金额</w:t>
            </w:r>
          </w:p>
        </w:tc>
      </w:tr>
      <w:tr>
        <w:tblPrEx>
          <w:tblCellMar>
            <w:top w:w="0" w:type="dxa"/>
            <w:left w:w="0" w:type="dxa"/>
            <w:bottom w:w="0" w:type="dxa"/>
            <w:right w:w="0" w:type="dxa"/>
          </w:tblCellMar>
        </w:tblPrEx>
        <w:trPr>
          <w:trHeight w:val="333" w:hRule="atLeast"/>
          <w:jc w:val="center"/>
        </w:trPr>
        <w:tc>
          <w:tcPr>
            <w:tcW w:w="349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政府集中采购</w:t>
            </w:r>
          </w:p>
        </w:tc>
        <w:tc>
          <w:tcPr>
            <w:tcW w:w="278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spacing w:line="400" w:lineRule="exact"/>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0</w:t>
            </w:r>
          </w:p>
        </w:tc>
        <w:tc>
          <w:tcPr>
            <w:tcW w:w="2783"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spacing w:line="400" w:lineRule="exact"/>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0</w:t>
            </w:r>
          </w:p>
        </w:tc>
      </w:tr>
    </w:tbl>
    <w:p>
      <w:pPr>
        <w:widowControl/>
        <w:shd w:val="clear" w:color="auto" w:fill="FFFFFF"/>
        <w:spacing w:line="560" w:lineRule="exact"/>
        <w:ind w:firstLine="640"/>
        <w:rPr>
          <w:rFonts w:ascii="Times New Roman" w:hAnsi="Times New Roman" w:eastAsia="黑体" w:cs="Times New Roman"/>
          <w:color w:val="000000"/>
          <w:kern w:val="0"/>
          <w:sz w:val="32"/>
          <w:szCs w:val="32"/>
        </w:rPr>
      </w:pPr>
      <w:r>
        <w:rPr>
          <w:rFonts w:hint="eastAsia" w:ascii="Times New Roman" w:hAnsi="黑体" w:eastAsia="黑体" w:cs="Times New Roman"/>
          <w:color w:val="000000"/>
          <w:kern w:val="0"/>
          <w:sz w:val="32"/>
          <w:szCs w:val="32"/>
        </w:rPr>
        <w:t>三、收到和处理政府信息公开申请情况</w:t>
      </w:r>
    </w:p>
    <w:tbl>
      <w:tblPr>
        <w:tblStyle w:val="5"/>
        <w:tblW w:w="940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2"/>
        <w:gridCol w:w="720"/>
        <w:gridCol w:w="2854"/>
        <w:gridCol w:w="594"/>
        <w:gridCol w:w="756"/>
        <w:gridCol w:w="756"/>
        <w:gridCol w:w="815"/>
        <w:gridCol w:w="831"/>
        <w:gridCol w:w="720"/>
        <w:gridCol w:w="7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16"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rPr>
              <w:t>（本列数据的勾稽关系为：第一项加第二项之和，等于第三项加第四项之和）</w:t>
            </w:r>
          </w:p>
        </w:tc>
        <w:tc>
          <w:tcPr>
            <w:tcW w:w="5192"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1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rPr>
                <w:rFonts w:ascii="Times New Roman" w:hAnsi="Times New Roman" w:eastAsia="仿宋_GB2312" w:cs="Times New Roman"/>
                <w:color w:val="000000"/>
                <w:sz w:val="24"/>
                <w:szCs w:val="24"/>
              </w:rPr>
            </w:pPr>
          </w:p>
        </w:tc>
        <w:tc>
          <w:tcPr>
            <w:tcW w:w="594"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340" w:lineRule="exact"/>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rPr>
              <w:t>自然人</w:t>
            </w:r>
          </w:p>
        </w:tc>
        <w:tc>
          <w:tcPr>
            <w:tcW w:w="3878"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40" w:lineRule="exact"/>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rPr>
              <w:t>法人或其他组织</w:t>
            </w:r>
          </w:p>
        </w:tc>
        <w:tc>
          <w:tcPr>
            <w:tcW w:w="720"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15" w:hRule="atLeast"/>
          <w:jc w:val="center"/>
        </w:trPr>
        <w:tc>
          <w:tcPr>
            <w:tcW w:w="421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rPr>
                <w:rFonts w:ascii="Times New Roman" w:hAnsi="Times New Roman" w:eastAsia="仿宋_GB2312" w:cs="Times New Roman"/>
                <w:color w:val="000000"/>
                <w:sz w:val="24"/>
                <w:szCs w:val="24"/>
              </w:rPr>
            </w:pPr>
          </w:p>
        </w:tc>
        <w:tc>
          <w:tcPr>
            <w:tcW w:w="594" w:type="dxa"/>
            <w:vMerge w:val="continue"/>
            <w:tcBorders>
              <w:top w:val="nil"/>
              <w:left w:val="nil"/>
              <w:bottom w:val="single" w:color="auto" w:sz="8" w:space="0"/>
              <w:right w:val="single" w:color="auto" w:sz="8" w:space="0"/>
            </w:tcBorders>
            <w:tcMar>
              <w:left w:w="108" w:type="dxa"/>
              <w:right w:w="108" w:type="dxa"/>
            </w:tcMar>
            <w:vAlign w:val="center"/>
          </w:tcPr>
          <w:p>
            <w:pPr>
              <w:spacing w:line="340" w:lineRule="exact"/>
              <w:rPr>
                <w:rFonts w:ascii="Times New Roman" w:hAnsi="Times New Roman" w:eastAsia="仿宋_GB2312" w:cs="Times New Roman"/>
                <w:color w:val="000000"/>
                <w:sz w:val="24"/>
                <w:szCs w:val="24"/>
              </w:rPr>
            </w:pPr>
          </w:p>
        </w:tc>
        <w:tc>
          <w:tcPr>
            <w:tcW w:w="756" w:type="dxa"/>
            <w:tcBorders>
              <w:top w:val="nil"/>
              <w:left w:val="nil"/>
              <w:bottom w:val="single" w:color="auto" w:sz="8" w:space="0"/>
              <w:right w:val="single" w:color="auto" w:sz="8" w:space="0"/>
            </w:tcBorders>
            <w:tcMar>
              <w:left w:w="108" w:type="dxa"/>
              <w:right w:w="108" w:type="dxa"/>
            </w:tcMar>
            <w:vAlign w:val="center"/>
          </w:tcPr>
          <w:p>
            <w:pPr>
              <w:widowControl/>
              <w:spacing w:line="340" w:lineRule="exact"/>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rPr>
              <w:t>商业企业</w:t>
            </w:r>
          </w:p>
        </w:tc>
        <w:tc>
          <w:tcPr>
            <w:tcW w:w="756" w:type="dxa"/>
            <w:tcBorders>
              <w:top w:val="nil"/>
              <w:left w:val="nil"/>
              <w:bottom w:val="single" w:color="auto" w:sz="8" w:space="0"/>
              <w:right w:val="single" w:color="auto" w:sz="8" w:space="0"/>
            </w:tcBorders>
            <w:tcMar>
              <w:left w:w="108" w:type="dxa"/>
              <w:right w:w="108" w:type="dxa"/>
            </w:tcMar>
            <w:vAlign w:val="center"/>
          </w:tcPr>
          <w:p>
            <w:pPr>
              <w:widowControl/>
              <w:spacing w:line="340" w:lineRule="exact"/>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rPr>
              <w:t>科研机构</w:t>
            </w:r>
          </w:p>
        </w:tc>
        <w:tc>
          <w:tcPr>
            <w:tcW w:w="81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40" w:lineRule="exact"/>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rPr>
              <w:t>社会公益组织</w:t>
            </w:r>
          </w:p>
        </w:tc>
        <w:tc>
          <w:tcPr>
            <w:tcW w:w="831"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40" w:lineRule="exact"/>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rPr>
              <w:t>法律服务机构</w:t>
            </w:r>
          </w:p>
        </w:tc>
        <w:tc>
          <w:tcPr>
            <w:tcW w:w="72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rPr>
              <w:t>其他</w:t>
            </w:r>
          </w:p>
        </w:tc>
        <w:tc>
          <w:tcPr>
            <w:tcW w:w="720"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360" w:lineRule="exact"/>
              <w:rPr>
                <w:rFonts w:ascii="Times New Roman"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1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rPr>
              <w:t>一、本年新收政府信息公开申请数量</w:t>
            </w:r>
          </w:p>
        </w:tc>
        <w:tc>
          <w:tcPr>
            <w:tcW w:w="594"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kern w:val="0"/>
                <w:sz w:val="24"/>
                <w:szCs w:val="24"/>
                <w:lang w:val="en-US" w:eastAsia="zh-CN"/>
              </w:rPr>
              <w:t>0</w:t>
            </w:r>
          </w:p>
        </w:tc>
        <w:tc>
          <w:tcPr>
            <w:tcW w:w="756"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1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rPr>
              <w:t>二、上年结转政府信息公开申请数量</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rPr>
              <w:t>三、本年度办理结果</w:t>
            </w:r>
          </w:p>
        </w:tc>
        <w:tc>
          <w:tcPr>
            <w:tcW w:w="3574"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rPr>
              <w:t>（一）予以公开</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kern w:val="0"/>
                <w:sz w:val="24"/>
                <w:szCs w:val="24"/>
                <w:lang w:val="en-US" w:eastAsia="zh-CN"/>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kern w:val="0"/>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3574" w:type="dxa"/>
            <w:gridSpan w:val="2"/>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rPr>
              <w:t>（二）部分公开（区分处理的，只计这一情形，不计其他情形）</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72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三</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不予公开</w:t>
            </w:r>
          </w:p>
        </w:tc>
        <w:tc>
          <w:tcPr>
            <w:tcW w:w="28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1.</w:t>
            </w:r>
            <w:r>
              <w:rPr>
                <w:rFonts w:hint="eastAsia" w:ascii="Times New Roman" w:hAnsi="Times New Roman" w:eastAsia="仿宋_GB2312" w:cs="Times New Roman"/>
                <w:color w:val="000000"/>
                <w:kern w:val="0"/>
                <w:sz w:val="24"/>
                <w:szCs w:val="24"/>
              </w:rPr>
              <w:t>属于国家秘密</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72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28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2.</w:t>
            </w:r>
            <w:r>
              <w:rPr>
                <w:rFonts w:hint="eastAsia" w:ascii="Times New Roman" w:hAnsi="Times New Roman" w:eastAsia="仿宋_GB2312" w:cs="Times New Roman"/>
                <w:color w:val="000000"/>
                <w:kern w:val="0"/>
                <w:sz w:val="24"/>
                <w:szCs w:val="24"/>
              </w:rPr>
              <w:t>其他法律行政法规禁止公开</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72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28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3.</w:t>
            </w:r>
            <w:r>
              <w:rPr>
                <w:rFonts w:hint="eastAsia" w:ascii="Times New Roman" w:hAnsi="Times New Roman" w:eastAsia="仿宋_GB2312" w:cs="Times New Roman"/>
                <w:color w:val="000000"/>
                <w:kern w:val="0"/>
                <w:sz w:val="24"/>
                <w:szCs w:val="24"/>
              </w:rPr>
              <w:t>危及</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三安全一稳定</w:t>
            </w:r>
            <w:r>
              <w:rPr>
                <w:rFonts w:ascii="Times New Roman" w:hAnsi="Times New Roman" w:eastAsia="仿宋_GB2312" w:cs="Times New Roman"/>
                <w:color w:val="000000"/>
                <w:kern w:val="0"/>
                <w:sz w:val="24"/>
                <w:szCs w:val="24"/>
              </w:rPr>
              <w:t>”</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72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28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4.</w:t>
            </w:r>
            <w:r>
              <w:rPr>
                <w:rFonts w:hint="eastAsia" w:ascii="Times New Roman" w:hAnsi="Times New Roman" w:eastAsia="仿宋_GB2312" w:cs="Times New Roman"/>
                <w:color w:val="000000"/>
                <w:kern w:val="0"/>
                <w:sz w:val="24"/>
                <w:szCs w:val="24"/>
              </w:rPr>
              <w:t>保护第三方合法权益</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72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28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5.</w:t>
            </w:r>
            <w:r>
              <w:rPr>
                <w:rFonts w:hint="eastAsia" w:ascii="Times New Roman" w:hAnsi="Times New Roman" w:eastAsia="仿宋_GB2312" w:cs="Times New Roman"/>
                <w:color w:val="000000"/>
                <w:kern w:val="0"/>
                <w:sz w:val="24"/>
                <w:szCs w:val="24"/>
              </w:rPr>
              <w:t>属于三类内部事务信息</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72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285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6.</w:t>
            </w:r>
            <w:r>
              <w:rPr>
                <w:rFonts w:hint="eastAsia" w:ascii="Times New Roman" w:hAnsi="Times New Roman" w:eastAsia="仿宋_GB2312" w:cs="Times New Roman"/>
                <w:color w:val="000000"/>
                <w:kern w:val="0"/>
                <w:sz w:val="24"/>
                <w:szCs w:val="24"/>
              </w:rPr>
              <w:t>属于四类过程性信息</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720"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2854"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6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7.</w:t>
            </w:r>
            <w:r>
              <w:rPr>
                <w:rFonts w:hint="eastAsia" w:ascii="Times New Roman" w:hAnsi="Times New Roman" w:eastAsia="仿宋_GB2312" w:cs="Times New Roman"/>
                <w:color w:val="000000"/>
                <w:kern w:val="0"/>
                <w:sz w:val="24"/>
                <w:szCs w:val="24"/>
              </w:rPr>
              <w:t>属于行政执法案卷</w:t>
            </w:r>
          </w:p>
        </w:tc>
        <w:tc>
          <w:tcPr>
            <w:tcW w:w="594"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720" w:type="dxa"/>
            <w:vMerge w:val="continue"/>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2854"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8.</w:t>
            </w:r>
            <w:r>
              <w:rPr>
                <w:rFonts w:hint="eastAsia" w:ascii="Times New Roman" w:hAnsi="Times New Roman" w:eastAsia="仿宋_GB2312" w:cs="Times New Roman"/>
                <w:color w:val="000000"/>
                <w:kern w:val="0"/>
                <w:sz w:val="24"/>
                <w:szCs w:val="24"/>
              </w:rPr>
              <w:t>属于行政查询事项</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720"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四</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无法提供</w:t>
            </w:r>
          </w:p>
        </w:tc>
        <w:tc>
          <w:tcPr>
            <w:tcW w:w="2854"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1.</w:t>
            </w:r>
            <w:r>
              <w:rPr>
                <w:rFonts w:hint="eastAsia" w:ascii="Times New Roman" w:hAnsi="Times New Roman" w:eastAsia="仿宋_GB2312" w:cs="Times New Roman"/>
                <w:color w:val="000000"/>
                <w:kern w:val="0"/>
                <w:sz w:val="24"/>
                <w:szCs w:val="24"/>
              </w:rPr>
              <w:t>本机关不掌握相关政府信息</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720" w:type="dxa"/>
            <w:vMerge w:val="continue"/>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2854"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2.</w:t>
            </w:r>
            <w:r>
              <w:rPr>
                <w:rFonts w:hint="eastAsia" w:ascii="Times New Roman" w:hAnsi="Times New Roman" w:eastAsia="仿宋_GB2312" w:cs="Times New Roman"/>
                <w:color w:val="000000"/>
                <w:kern w:val="0"/>
                <w:sz w:val="24"/>
                <w:szCs w:val="24"/>
              </w:rPr>
              <w:t>没有现成信息需要另行制作</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720" w:type="dxa"/>
            <w:vMerge w:val="continue"/>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2854"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3.</w:t>
            </w:r>
            <w:r>
              <w:rPr>
                <w:rFonts w:hint="eastAsia" w:ascii="Times New Roman" w:hAnsi="Times New Roman" w:eastAsia="仿宋_GB2312" w:cs="Times New Roman"/>
                <w:color w:val="000000"/>
                <w:kern w:val="0"/>
                <w:sz w:val="24"/>
                <w:szCs w:val="24"/>
              </w:rPr>
              <w:t>补</w:t>
            </w:r>
            <w:r>
              <w:rPr>
                <w:rFonts w:hint="eastAsia" w:ascii="Times New Roman" w:hAnsi="Times New Roman" w:eastAsia="仿宋_GB2312" w:cs="Times New Roman"/>
                <w:color w:val="000000"/>
                <w:spacing w:val="-10"/>
                <w:kern w:val="0"/>
                <w:sz w:val="24"/>
                <w:szCs w:val="24"/>
              </w:rPr>
              <w:t>正后申请内容仍不明确</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eastAsia="仿宋_GB2312" w:cs="Times New Roman"/>
                <w:color w:val="000000"/>
                <w:sz w:val="24"/>
                <w:szCs w:val="24"/>
              </w:rPr>
            </w:pPr>
          </w:p>
        </w:tc>
        <w:tc>
          <w:tcPr>
            <w:tcW w:w="720"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五</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不予处理</w:t>
            </w:r>
          </w:p>
        </w:tc>
        <w:tc>
          <w:tcPr>
            <w:tcW w:w="2854"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1.</w:t>
            </w:r>
            <w:r>
              <w:rPr>
                <w:rFonts w:hint="eastAsia" w:ascii="Times New Roman" w:hAnsi="Times New Roman" w:eastAsia="仿宋_GB2312" w:cs="Times New Roman"/>
                <w:color w:val="000000"/>
                <w:kern w:val="0"/>
                <w:sz w:val="24"/>
                <w:szCs w:val="24"/>
              </w:rPr>
              <w:t>信访举报投诉类申请</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60" w:lineRule="exact"/>
              <w:rPr>
                <w:rFonts w:ascii="Times New Roman" w:hAnsi="Times New Roman" w:eastAsia="仿宋_GB2312" w:cs="Times New Roman"/>
                <w:color w:val="000000"/>
                <w:sz w:val="24"/>
                <w:szCs w:val="24"/>
              </w:rPr>
            </w:pPr>
          </w:p>
        </w:tc>
        <w:tc>
          <w:tcPr>
            <w:tcW w:w="720" w:type="dxa"/>
            <w:vMerge w:val="continue"/>
            <w:tcBorders>
              <w:top w:val="nil"/>
              <w:left w:val="nil"/>
              <w:bottom w:val="single" w:color="auto" w:sz="8" w:space="0"/>
              <w:right w:val="single" w:color="auto" w:sz="8" w:space="0"/>
            </w:tcBorders>
            <w:tcMar>
              <w:left w:w="108" w:type="dxa"/>
              <w:right w:w="108" w:type="dxa"/>
            </w:tcMar>
            <w:vAlign w:val="center"/>
          </w:tcPr>
          <w:p>
            <w:pPr>
              <w:spacing w:line="360" w:lineRule="exact"/>
              <w:rPr>
                <w:rFonts w:ascii="Times New Roman" w:hAnsi="Times New Roman" w:eastAsia="仿宋_GB2312" w:cs="Times New Roman"/>
                <w:color w:val="000000"/>
                <w:sz w:val="24"/>
                <w:szCs w:val="24"/>
              </w:rPr>
            </w:pPr>
          </w:p>
        </w:tc>
        <w:tc>
          <w:tcPr>
            <w:tcW w:w="2854"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2.</w:t>
            </w:r>
            <w:r>
              <w:rPr>
                <w:rFonts w:hint="eastAsia" w:ascii="Times New Roman" w:hAnsi="Times New Roman" w:eastAsia="仿宋_GB2312" w:cs="Times New Roman"/>
                <w:color w:val="000000"/>
                <w:kern w:val="0"/>
                <w:sz w:val="24"/>
                <w:szCs w:val="24"/>
              </w:rPr>
              <w:t>重复申请</w:t>
            </w:r>
          </w:p>
        </w:tc>
        <w:tc>
          <w:tcPr>
            <w:tcW w:w="594"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60" w:lineRule="exact"/>
              <w:rPr>
                <w:rFonts w:ascii="Times New Roman" w:hAnsi="Times New Roman" w:eastAsia="仿宋_GB2312" w:cs="Times New Roman"/>
                <w:color w:val="000000"/>
                <w:sz w:val="24"/>
                <w:szCs w:val="24"/>
              </w:rPr>
            </w:pPr>
          </w:p>
        </w:tc>
        <w:tc>
          <w:tcPr>
            <w:tcW w:w="720" w:type="dxa"/>
            <w:vMerge w:val="continue"/>
            <w:tcBorders>
              <w:top w:val="nil"/>
              <w:left w:val="nil"/>
              <w:bottom w:val="single" w:color="auto" w:sz="8" w:space="0"/>
              <w:right w:val="single" w:color="auto" w:sz="8" w:space="0"/>
            </w:tcBorders>
            <w:tcMar>
              <w:left w:w="108" w:type="dxa"/>
              <w:right w:w="108" w:type="dxa"/>
            </w:tcMar>
            <w:vAlign w:val="center"/>
          </w:tcPr>
          <w:p>
            <w:pPr>
              <w:spacing w:line="360" w:lineRule="exact"/>
              <w:rPr>
                <w:rFonts w:ascii="Times New Roman" w:hAnsi="Times New Roman" w:eastAsia="仿宋_GB2312" w:cs="Times New Roman"/>
                <w:color w:val="000000"/>
                <w:sz w:val="24"/>
                <w:szCs w:val="24"/>
              </w:rPr>
            </w:pPr>
          </w:p>
        </w:tc>
        <w:tc>
          <w:tcPr>
            <w:tcW w:w="2854"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3.</w:t>
            </w:r>
            <w:r>
              <w:rPr>
                <w:rFonts w:hint="eastAsia" w:ascii="Times New Roman" w:hAnsi="Times New Roman" w:eastAsia="仿宋_GB2312" w:cs="Times New Roman"/>
                <w:color w:val="000000"/>
                <w:kern w:val="0"/>
                <w:sz w:val="24"/>
                <w:szCs w:val="24"/>
              </w:rPr>
              <w:t>要求提供公开出版物</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60" w:lineRule="exact"/>
              <w:rPr>
                <w:rFonts w:ascii="Times New Roman" w:hAnsi="Times New Roman" w:eastAsia="仿宋_GB2312" w:cs="Times New Roman"/>
                <w:color w:val="000000"/>
                <w:sz w:val="24"/>
                <w:szCs w:val="24"/>
              </w:rPr>
            </w:pPr>
          </w:p>
        </w:tc>
        <w:tc>
          <w:tcPr>
            <w:tcW w:w="720" w:type="dxa"/>
            <w:vMerge w:val="continue"/>
            <w:tcBorders>
              <w:top w:val="nil"/>
              <w:left w:val="nil"/>
              <w:bottom w:val="single" w:color="auto" w:sz="8" w:space="0"/>
              <w:right w:val="single" w:color="auto" w:sz="8" w:space="0"/>
            </w:tcBorders>
            <w:tcMar>
              <w:left w:w="108" w:type="dxa"/>
              <w:right w:w="108" w:type="dxa"/>
            </w:tcMar>
            <w:vAlign w:val="center"/>
          </w:tcPr>
          <w:p>
            <w:pPr>
              <w:spacing w:line="360" w:lineRule="exact"/>
              <w:rPr>
                <w:rFonts w:ascii="Times New Roman" w:hAnsi="Times New Roman" w:eastAsia="仿宋_GB2312" w:cs="Times New Roman"/>
                <w:color w:val="000000"/>
                <w:sz w:val="24"/>
                <w:szCs w:val="24"/>
              </w:rPr>
            </w:pPr>
          </w:p>
        </w:tc>
        <w:tc>
          <w:tcPr>
            <w:tcW w:w="2854" w:type="dxa"/>
            <w:tcBorders>
              <w:top w:val="nil"/>
              <w:left w:val="nil"/>
              <w:bottom w:val="single" w:color="auto" w:sz="8" w:space="0"/>
              <w:right w:val="single" w:color="auto" w:sz="8" w:space="0"/>
            </w:tcBorders>
            <w:tcMar>
              <w:left w:w="108" w:type="dxa"/>
              <w:right w:w="108" w:type="dxa"/>
            </w:tcMar>
            <w:vAlign w:val="center"/>
          </w:tcPr>
          <w:p>
            <w:pPr>
              <w:widowControl/>
              <w:spacing w:line="36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4.</w:t>
            </w:r>
            <w:r>
              <w:rPr>
                <w:rFonts w:hint="eastAsia" w:ascii="Times New Roman" w:hAnsi="Times New Roman" w:eastAsia="仿宋_GB2312" w:cs="Times New Roman"/>
                <w:color w:val="000000"/>
                <w:kern w:val="0"/>
                <w:sz w:val="24"/>
                <w:szCs w:val="24"/>
              </w:rPr>
              <w:t>无</w:t>
            </w:r>
            <w:r>
              <w:rPr>
                <w:rFonts w:hint="eastAsia" w:ascii="Times New Roman" w:hAnsi="Times New Roman" w:eastAsia="仿宋_GB2312" w:cs="Times New Roman"/>
                <w:color w:val="000000"/>
                <w:spacing w:val="-10"/>
                <w:kern w:val="0"/>
                <w:sz w:val="24"/>
                <w:szCs w:val="24"/>
              </w:rPr>
              <w:t>正当理由大量反复申请</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60" w:lineRule="exact"/>
              <w:rPr>
                <w:rFonts w:ascii="Times New Roman" w:hAnsi="Times New Roman" w:eastAsia="仿宋_GB2312" w:cs="Times New Roman"/>
                <w:color w:val="000000"/>
                <w:sz w:val="24"/>
                <w:szCs w:val="24"/>
              </w:rPr>
            </w:pPr>
          </w:p>
        </w:tc>
        <w:tc>
          <w:tcPr>
            <w:tcW w:w="720" w:type="dxa"/>
            <w:vMerge w:val="continue"/>
            <w:tcBorders>
              <w:top w:val="nil"/>
              <w:left w:val="nil"/>
              <w:bottom w:val="single" w:color="auto" w:sz="8" w:space="0"/>
              <w:right w:val="single" w:color="auto" w:sz="8" w:space="0"/>
            </w:tcBorders>
            <w:tcMar>
              <w:left w:w="108" w:type="dxa"/>
              <w:right w:w="108" w:type="dxa"/>
            </w:tcMar>
            <w:vAlign w:val="center"/>
          </w:tcPr>
          <w:p>
            <w:pPr>
              <w:spacing w:line="360" w:lineRule="exact"/>
              <w:rPr>
                <w:rFonts w:ascii="Times New Roman" w:hAnsi="Times New Roman" w:eastAsia="仿宋_GB2312" w:cs="Times New Roman"/>
                <w:color w:val="000000"/>
                <w:sz w:val="24"/>
                <w:szCs w:val="24"/>
              </w:rPr>
            </w:pPr>
          </w:p>
        </w:tc>
        <w:tc>
          <w:tcPr>
            <w:tcW w:w="2854"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5.</w:t>
            </w:r>
            <w:r>
              <w:rPr>
                <w:rFonts w:hint="eastAsia" w:ascii="Times New Roman" w:hAnsi="Times New Roman" w:eastAsia="仿宋_GB2312" w:cs="Times New Roman"/>
                <w:color w:val="000000"/>
                <w:kern w:val="0"/>
                <w:sz w:val="24"/>
                <w:szCs w:val="24"/>
              </w:rPr>
              <w:t>要求行政机关确认或重新出具已获取信息</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60" w:lineRule="exact"/>
              <w:rPr>
                <w:rFonts w:ascii="Times New Roman" w:hAnsi="Times New Roman" w:eastAsia="仿宋_GB2312" w:cs="Times New Roman"/>
                <w:color w:val="000000"/>
                <w:sz w:val="24"/>
                <w:szCs w:val="24"/>
              </w:rPr>
            </w:pPr>
          </w:p>
        </w:tc>
        <w:tc>
          <w:tcPr>
            <w:tcW w:w="3574" w:type="dxa"/>
            <w:gridSpan w:val="2"/>
            <w:tcBorders>
              <w:top w:val="nil"/>
              <w:left w:val="nil"/>
              <w:bottom w:val="single" w:color="auto" w:sz="8" w:space="0"/>
              <w:right w:val="single" w:color="auto" w:sz="8" w:space="0"/>
            </w:tcBorders>
            <w:tcMar>
              <w:left w:w="108" w:type="dxa"/>
              <w:right w:w="108" w:type="dxa"/>
            </w:tcMar>
            <w:vAlign w:val="center"/>
          </w:tcPr>
          <w:p>
            <w:pPr>
              <w:widowControl/>
              <w:spacing w:line="360" w:lineRule="exact"/>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rPr>
              <w:t>（六）其他处理</w:t>
            </w:r>
          </w:p>
        </w:tc>
        <w:tc>
          <w:tcPr>
            <w:tcW w:w="594"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nil"/>
              <w:left w:val="nil"/>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tcPr>
          <w:p>
            <w:pPr>
              <w:spacing w:line="360" w:lineRule="exact"/>
              <w:jc w:val="left"/>
              <w:rPr>
                <w:rFonts w:ascii="Times New Roman" w:hAnsi="Times New Roman" w:eastAsia="仿宋_GB2312" w:cs="Times New Roman"/>
                <w:color w:val="000000"/>
                <w:sz w:val="24"/>
                <w:szCs w:val="24"/>
              </w:rPr>
            </w:pPr>
          </w:p>
        </w:tc>
        <w:tc>
          <w:tcPr>
            <w:tcW w:w="3574"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360" w:lineRule="exact"/>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rPr>
              <w:t>（七）总计</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60" w:lineRule="exact"/>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16" w:type="dxa"/>
            <w:gridSpan w:val="3"/>
            <w:tcBorders>
              <w:top w:val="single" w:color="auto" w:sz="8" w:space="0"/>
              <w:left w:val="single" w:color="auto" w:sz="8" w:space="0"/>
              <w:bottom w:val="single" w:color="auto" w:sz="8" w:space="0"/>
              <w:right w:val="single" w:color="auto" w:sz="8" w:space="0"/>
            </w:tcBorders>
            <w:tcMar>
              <w:left w:w="108" w:type="dxa"/>
              <w:right w:w="108" w:type="dxa"/>
            </w:tcMar>
          </w:tcPr>
          <w:p>
            <w:pPr>
              <w:widowControl/>
              <w:spacing w:line="360" w:lineRule="exact"/>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kern w:val="0"/>
                <w:sz w:val="24"/>
                <w:szCs w:val="24"/>
              </w:rPr>
              <w:t>四、结转下年度继续办理</w:t>
            </w:r>
          </w:p>
        </w:tc>
        <w:tc>
          <w:tcPr>
            <w:tcW w:w="59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5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1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83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c>
          <w:tcPr>
            <w:tcW w:w="72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60" w:lineRule="exact"/>
              <w:jc w:val="center"/>
              <w:rPr>
                <w:rFonts w:ascii="Times New Roman" w:hAnsi="Times New Roman" w:cs="Times New Roman"/>
                <w:color w:val="000000"/>
                <w:sz w:val="24"/>
                <w:szCs w:val="24"/>
              </w:rPr>
            </w:pPr>
            <w:r>
              <w:rPr>
                <w:rFonts w:ascii="Times New Roman" w:hAnsi="Times New Roman" w:eastAsia="仿宋_GB2312" w:cs="Times New Roman"/>
                <w:color w:val="000000"/>
                <w:kern w:val="0"/>
                <w:sz w:val="24"/>
                <w:szCs w:val="24"/>
              </w:rPr>
              <w:t>0</w:t>
            </w:r>
          </w:p>
        </w:tc>
      </w:tr>
    </w:tbl>
    <w:p>
      <w:pPr>
        <w:widowControl/>
        <w:shd w:val="clear" w:color="auto" w:fill="FFFFFF"/>
        <w:spacing w:line="560" w:lineRule="exact"/>
        <w:ind w:firstLine="640"/>
        <w:rPr>
          <w:rFonts w:ascii="Times New Roman" w:hAnsi="Times New Roman" w:eastAsia="黑体" w:cs="Times New Roman"/>
          <w:color w:val="000000"/>
          <w:kern w:val="0"/>
          <w:sz w:val="32"/>
          <w:szCs w:val="32"/>
        </w:rPr>
      </w:pPr>
      <w:r>
        <w:rPr>
          <w:rFonts w:hint="eastAsia" w:ascii="Times New Roman" w:hAnsi="黑体" w:eastAsia="黑体" w:cs="Times New Roman"/>
          <w:color w:val="000000"/>
          <w:kern w:val="0"/>
          <w:sz w:val="32"/>
          <w:szCs w:val="32"/>
        </w:rPr>
        <w:t>四、政府信息公开行政复议、行政诉讼情况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560" w:lineRule="exact"/>
              <w:rPr>
                <w:rFonts w:ascii="Times New Roman" w:hAnsi="Times New Roman" w:eastAsia="仿宋_GB2312" w:cs="Times New Roman"/>
                <w:color w:val="000000"/>
                <w:sz w:val="28"/>
                <w:szCs w:val="28"/>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spacing w:line="560" w:lineRule="exact"/>
              <w:rPr>
                <w:rFonts w:ascii="Times New Roman" w:hAnsi="Times New Roman" w:eastAsia="仿宋_GB2312" w:cs="Times New Roman"/>
                <w:color w:val="000000"/>
                <w:sz w:val="28"/>
                <w:szCs w:val="28"/>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rPr>
                <w:rFonts w:ascii="Times New Roman" w:hAnsi="Times New Roman" w:eastAsia="仿宋_GB2312" w:cs="Times New Roman"/>
                <w:color w:val="000000"/>
                <w:sz w:val="28"/>
                <w:szCs w:val="28"/>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rPr>
                <w:rFonts w:ascii="Times New Roman" w:hAnsi="Times New Roman" w:eastAsia="仿宋_GB2312" w:cs="Times New Roman"/>
                <w:color w:val="000000"/>
                <w:sz w:val="28"/>
                <w:szCs w:val="28"/>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560" w:lineRule="exact"/>
              <w:rPr>
                <w:rFonts w:ascii="Times New Roman" w:hAnsi="Times New Roman" w:eastAsia="仿宋_GB2312" w:cs="Times New Roman"/>
                <w:color w:val="000000"/>
                <w:sz w:val="28"/>
                <w:szCs w:val="28"/>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line="56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kern w:val="0"/>
                <w:sz w:val="28"/>
                <w:szCs w:val="28"/>
              </w:rPr>
              <w:t>0</w:t>
            </w:r>
          </w:p>
        </w:tc>
        <w:tc>
          <w:tcPr>
            <w:tcW w:w="550" w:type="dxa"/>
            <w:tcBorders>
              <w:top w:val="nil"/>
              <w:left w:val="nil"/>
              <w:bottom w:val="single" w:color="auto" w:sz="8" w:space="0"/>
              <w:right w:val="single" w:color="auto" w:sz="8" w:space="0"/>
            </w:tcBorders>
            <w:tcMar>
              <w:left w:w="108" w:type="dxa"/>
              <w:right w:w="108" w:type="dxa"/>
            </w:tcMar>
            <w:vAlign w:val="center"/>
          </w:tcPr>
          <w:p>
            <w:pPr>
              <w:spacing w:line="560" w:lineRule="exact"/>
              <w:jc w:val="center"/>
              <w:rPr>
                <w:rFonts w:ascii="Times New Roman" w:hAnsi="Times New Roman" w:cs="Times New Roman"/>
                <w:color w:val="000000"/>
                <w:sz w:val="28"/>
                <w:szCs w:val="28"/>
              </w:rPr>
            </w:pPr>
            <w:r>
              <w:rPr>
                <w:rFonts w:ascii="Times New Roman" w:hAnsi="Times New Roman" w:eastAsia="仿宋_GB2312" w:cs="Times New Roman"/>
                <w:color w:val="000000"/>
                <w:kern w:val="0"/>
                <w:sz w:val="28"/>
                <w:szCs w:val="28"/>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560" w:lineRule="exact"/>
              <w:jc w:val="center"/>
              <w:rPr>
                <w:rFonts w:ascii="Times New Roman" w:hAnsi="Times New Roman" w:cs="Times New Roman"/>
                <w:color w:val="000000"/>
                <w:sz w:val="28"/>
                <w:szCs w:val="28"/>
              </w:rPr>
            </w:pPr>
            <w:r>
              <w:rPr>
                <w:rFonts w:ascii="Times New Roman" w:hAnsi="Times New Roman" w:eastAsia="仿宋_GB2312" w:cs="Times New Roman"/>
                <w:color w:val="000000"/>
                <w:kern w:val="0"/>
                <w:sz w:val="28"/>
                <w:szCs w:val="28"/>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560" w:lineRule="exact"/>
              <w:jc w:val="center"/>
              <w:rPr>
                <w:rFonts w:ascii="Times New Roman" w:hAnsi="Times New Roman" w:cs="Times New Roman"/>
                <w:color w:val="000000"/>
                <w:sz w:val="28"/>
                <w:szCs w:val="28"/>
              </w:rPr>
            </w:pPr>
            <w:r>
              <w:rPr>
                <w:rFonts w:ascii="Times New Roman" w:hAnsi="Times New Roman" w:eastAsia="仿宋_GB2312" w:cs="Times New Roman"/>
                <w:color w:val="000000"/>
                <w:kern w:val="0"/>
                <w:sz w:val="28"/>
                <w:szCs w:val="28"/>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560" w:lineRule="exact"/>
              <w:jc w:val="center"/>
              <w:rPr>
                <w:rFonts w:ascii="Times New Roman" w:hAnsi="Times New Roman" w:cs="Times New Roman"/>
                <w:color w:val="000000"/>
                <w:sz w:val="28"/>
                <w:szCs w:val="28"/>
              </w:rPr>
            </w:pPr>
            <w:r>
              <w:rPr>
                <w:rFonts w:ascii="Times New Roman" w:hAnsi="Times New Roman" w:eastAsia="仿宋_GB2312" w:cs="Times New Roman"/>
                <w:color w:val="000000"/>
                <w:kern w:val="0"/>
                <w:sz w:val="28"/>
                <w:szCs w:val="28"/>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560" w:lineRule="exact"/>
              <w:jc w:val="center"/>
              <w:rPr>
                <w:rFonts w:ascii="Times New Roman" w:hAnsi="Times New Roman" w:cs="Times New Roman"/>
                <w:color w:val="000000"/>
                <w:sz w:val="28"/>
                <w:szCs w:val="28"/>
              </w:rPr>
            </w:pPr>
            <w:r>
              <w:rPr>
                <w:rFonts w:ascii="Times New Roman" w:hAnsi="Times New Roman" w:eastAsia="仿宋_GB2312" w:cs="Times New Roman"/>
                <w:color w:val="000000"/>
                <w:kern w:val="0"/>
                <w:sz w:val="28"/>
                <w:szCs w:val="28"/>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560" w:lineRule="exact"/>
              <w:jc w:val="center"/>
              <w:rPr>
                <w:rFonts w:ascii="Times New Roman" w:hAnsi="Times New Roman" w:cs="Times New Roman"/>
                <w:color w:val="000000"/>
                <w:sz w:val="28"/>
                <w:szCs w:val="28"/>
              </w:rPr>
            </w:pPr>
            <w:r>
              <w:rPr>
                <w:rFonts w:ascii="Times New Roman" w:hAnsi="Times New Roman" w:eastAsia="仿宋_GB2312" w:cs="Times New Roman"/>
                <w:color w:val="000000"/>
                <w:kern w:val="0"/>
                <w:sz w:val="28"/>
                <w:szCs w:val="28"/>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560" w:lineRule="exact"/>
              <w:jc w:val="center"/>
              <w:rPr>
                <w:rFonts w:ascii="Times New Roman" w:hAnsi="Times New Roman" w:cs="Times New Roman"/>
                <w:color w:val="000000"/>
                <w:sz w:val="28"/>
                <w:szCs w:val="28"/>
              </w:rPr>
            </w:pPr>
            <w:r>
              <w:rPr>
                <w:rFonts w:ascii="Times New Roman" w:hAnsi="Times New Roman" w:eastAsia="仿宋_GB2312" w:cs="Times New Roman"/>
                <w:color w:val="000000"/>
                <w:kern w:val="0"/>
                <w:sz w:val="28"/>
                <w:szCs w:val="28"/>
              </w:rPr>
              <w:t>0</w:t>
            </w:r>
          </w:p>
        </w:tc>
        <w:tc>
          <w:tcPr>
            <w:tcW w:w="605" w:type="dxa"/>
            <w:tcBorders>
              <w:top w:val="nil"/>
              <w:left w:val="nil"/>
              <w:bottom w:val="single" w:color="auto" w:sz="8" w:space="0"/>
              <w:right w:val="single" w:color="auto" w:sz="8" w:space="0"/>
            </w:tcBorders>
            <w:tcMar>
              <w:left w:w="108" w:type="dxa"/>
              <w:right w:w="108" w:type="dxa"/>
            </w:tcMar>
            <w:vAlign w:val="center"/>
          </w:tcPr>
          <w:p>
            <w:pPr>
              <w:spacing w:line="560" w:lineRule="exact"/>
              <w:jc w:val="center"/>
              <w:rPr>
                <w:rFonts w:ascii="Times New Roman" w:hAnsi="Times New Roman" w:cs="Times New Roman"/>
                <w:color w:val="000000"/>
                <w:sz w:val="28"/>
                <w:szCs w:val="28"/>
              </w:rPr>
            </w:pPr>
            <w:r>
              <w:rPr>
                <w:rFonts w:ascii="Times New Roman" w:hAnsi="Times New Roman" w:eastAsia="仿宋_GB2312" w:cs="Times New Roman"/>
                <w:color w:val="000000"/>
                <w:kern w:val="0"/>
                <w:sz w:val="28"/>
                <w:szCs w:val="28"/>
              </w:rPr>
              <w:t>0</w:t>
            </w:r>
          </w:p>
        </w:tc>
        <w:tc>
          <w:tcPr>
            <w:tcW w:w="606" w:type="dxa"/>
            <w:tcBorders>
              <w:top w:val="nil"/>
              <w:left w:val="nil"/>
              <w:bottom w:val="single" w:color="auto" w:sz="8" w:space="0"/>
              <w:right w:val="single" w:color="auto" w:sz="8" w:space="0"/>
            </w:tcBorders>
            <w:tcMar>
              <w:left w:w="108" w:type="dxa"/>
              <w:right w:w="108" w:type="dxa"/>
            </w:tcMar>
            <w:vAlign w:val="center"/>
          </w:tcPr>
          <w:p>
            <w:pPr>
              <w:spacing w:line="560" w:lineRule="exact"/>
              <w:jc w:val="center"/>
              <w:rPr>
                <w:rFonts w:ascii="Times New Roman" w:hAnsi="Times New Roman" w:cs="Times New Roman"/>
                <w:color w:val="000000"/>
                <w:sz w:val="28"/>
                <w:szCs w:val="28"/>
              </w:rPr>
            </w:pPr>
            <w:r>
              <w:rPr>
                <w:rFonts w:ascii="Times New Roman" w:hAnsi="Times New Roman" w:eastAsia="仿宋_GB2312" w:cs="Times New Roman"/>
                <w:color w:val="000000"/>
                <w:kern w:val="0"/>
                <w:sz w:val="28"/>
                <w:szCs w:val="28"/>
              </w:rPr>
              <w:t>0</w:t>
            </w:r>
          </w:p>
        </w:tc>
        <w:tc>
          <w:tcPr>
            <w:tcW w:w="606" w:type="dxa"/>
            <w:tcBorders>
              <w:top w:val="nil"/>
              <w:left w:val="nil"/>
              <w:bottom w:val="single" w:color="auto" w:sz="8" w:space="0"/>
              <w:right w:val="single" w:color="auto" w:sz="8" w:space="0"/>
            </w:tcBorders>
            <w:tcMar>
              <w:left w:w="108" w:type="dxa"/>
              <w:right w:w="108" w:type="dxa"/>
            </w:tcMar>
            <w:vAlign w:val="center"/>
          </w:tcPr>
          <w:p>
            <w:pPr>
              <w:spacing w:line="560" w:lineRule="exact"/>
              <w:jc w:val="center"/>
              <w:rPr>
                <w:rFonts w:ascii="Times New Roman" w:hAnsi="Times New Roman" w:cs="Times New Roman"/>
                <w:color w:val="000000"/>
                <w:sz w:val="28"/>
                <w:szCs w:val="28"/>
              </w:rPr>
            </w:pPr>
            <w:r>
              <w:rPr>
                <w:rFonts w:ascii="Times New Roman" w:hAnsi="Times New Roman" w:eastAsia="仿宋_GB2312" w:cs="Times New Roman"/>
                <w:color w:val="000000"/>
                <w:kern w:val="0"/>
                <w:sz w:val="28"/>
                <w:szCs w:val="28"/>
              </w:rPr>
              <w:t>0</w:t>
            </w:r>
          </w:p>
        </w:tc>
      </w:tr>
    </w:tbl>
    <w:p>
      <w:pPr>
        <w:widowControl/>
        <w:shd w:val="clear" w:color="auto" w:fill="FFFFFF"/>
        <w:spacing w:line="560" w:lineRule="exact"/>
        <w:ind w:firstLine="640"/>
        <w:rPr>
          <w:rFonts w:ascii="Times New Roman" w:hAnsi="Times New Roman" w:eastAsia="黑体" w:cs="Times New Roman"/>
          <w:color w:val="000000"/>
          <w:kern w:val="0"/>
          <w:sz w:val="32"/>
          <w:szCs w:val="32"/>
        </w:rPr>
      </w:pPr>
      <w:r>
        <w:rPr>
          <w:rFonts w:hint="eastAsia" w:ascii="Times New Roman" w:hAnsi="黑体" w:eastAsia="黑体" w:cs="Times New Roman"/>
          <w:color w:val="000000"/>
          <w:kern w:val="0"/>
          <w:sz w:val="32"/>
          <w:szCs w:val="32"/>
        </w:rPr>
        <w:t>五、存在的主要问题及改进情况</w:t>
      </w:r>
    </w:p>
    <w:p>
      <w:pPr>
        <w:pStyle w:val="4"/>
        <w:shd w:val="clear" w:color="auto" w:fill="FFFFFF"/>
        <w:spacing w:beforeAutospacing="0" w:afterAutospacing="0" w:line="560" w:lineRule="exact"/>
        <w:ind w:firstLine="640" w:firstLineChars="200"/>
        <w:jc w:val="both"/>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2019年，我局政务信息公开工作取得了一定成效，但也存在问题和不足之处，主要表现如下:</w:t>
      </w:r>
    </w:p>
    <w:p>
      <w:pPr>
        <w:pStyle w:val="4"/>
        <w:numPr>
          <w:ilvl w:val="0"/>
          <w:numId w:val="0"/>
        </w:numPr>
        <w:shd w:val="clear" w:color="auto" w:fill="FFFFFF"/>
        <w:spacing w:beforeAutospacing="0" w:afterAutospacing="0" w:line="560" w:lineRule="exact"/>
        <w:ind w:firstLine="640" w:firstLineChars="200"/>
        <w:jc w:val="both"/>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1.主动公开的深度和范围需要进一步拓展</w:t>
      </w:r>
    </w:p>
    <w:p>
      <w:pPr>
        <w:pStyle w:val="4"/>
        <w:numPr>
          <w:ilvl w:val="0"/>
          <w:numId w:val="0"/>
        </w:numPr>
        <w:shd w:val="clear" w:color="auto" w:fill="FFFFFF"/>
        <w:spacing w:beforeAutospacing="0" w:afterAutospacing="0" w:line="560" w:lineRule="exact"/>
        <w:ind w:firstLine="640" w:firstLineChars="200"/>
        <w:jc w:val="both"/>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主要体现在公开信息质量不够高，存在信息要素不全等现象，信息公开的范围还可以拓展。</w:t>
      </w:r>
    </w:p>
    <w:p>
      <w:pPr>
        <w:pStyle w:val="4"/>
        <w:numPr>
          <w:ilvl w:val="0"/>
          <w:numId w:val="0"/>
        </w:numPr>
        <w:shd w:val="clear" w:color="auto" w:fill="FFFFFF"/>
        <w:spacing w:beforeAutospacing="0" w:afterAutospacing="0" w:line="560" w:lineRule="exact"/>
        <w:ind w:firstLine="640" w:firstLineChars="200"/>
        <w:jc w:val="both"/>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2.政治解读还有待提升</w:t>
      </w:r>
    </w:p>
    <w:p>
      <w:pPr>
        <w:pStyle w:val="4"/>
        <w:numPr>
          <w:ilvl w:val="0"/>
          <w:numId w:val="0"/>
        </w:numPr>
        <w:shd w:val="clear" w:color="auto" w:fill="FFFFFF"/>
        <w:spacing w:beforeAutospacing="0" w:afterAutospacing="0" w:line="560" w:lineRule="exact"/>
        <w:ind w:firstLine="640"/>
        <w:jc w:val="both"/>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主要表现在主动进行政策解读的主观性不强，解读随意性较大，并且形式单一，效果不够。</w:t>
      </w:r>
    </w:p>
    <w:p>
      <w:pPr>
        <w:pStyle w:val="4"/>
        <w:numPr>
          <w:ilvl w:val="0"/>
          <w:numId w:val="0"/>
        </w:numPr>
        <w:shd w:val="clear" w:color="auto" w:fill="FFFFFF"/>
        <w:spacing w:beforeAutospacing="0" w:afterAutospacing="0" w:line="560" w:lineRule="exact"/>
        <w:ind w:firstLine="640"/>
        <w:jc w:val="both"/>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2020年，我局将从以下几个方面，进一步推进政务公开工作:</w:t>
      </w:r>
    </w:p>
    <w:p>
      <w:pPr>
        <w:pStyle w:val="4"/>
        <w:numPr>
          <w:ilvl w:val="0"/>
          <w:numId w:val="0"/>
        </w:numPr>
        <w:shd w:val="clear" w:color="auto" w:fill="FFFFFF"/>
        <w:spacing w:beforeAutospacing="0" w:afterAutospacing="0" w:line="560" w:lineRule="exact"/>
        <w:ind w:firstLine="640"/>
        <w:jc w:val="both"/>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一是学习政务公开先进工作经验，完善工作机制。学习我县政务公开先进单位的先进工作方面，并贯彻在平时的政务公开工作中。</w:t>
      </w:r>
    </w:p>
    <w:p>
      <w:pPr>
        <w:pStyle w:val="4"/>
        <w:numPr>
          <w:ilvl w:val="0"/>
          <w:numId w:val="0"/>
        </w:numPr>
        <w:shd w:val="clear" w:color="auto" w:fill="FFFFFF"/>
        <w:spacing w:beforeAutospacing="0" w:afterAutospacing="0" w:line="560" w:lineRule="exact"/>
        <w:ind w:firstLine="640"/>
        <w:jc w:val="both"/>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二是根据县政府指导意见，将持续拓展主动公开的深度和 广度。</w:t>
      </w:r>
    </w:p>
    <w:p>
      <w:pPr>
        <w:pStyle w:val="4"/>
        <w:numPr>
          <w:ilvl w:val="0"/>
          <w:numId w:val="0"/>
        </w:numPr>
        <w:shd w:val="clear" w:color="auto" w:fill="FFFFFF"/>
        <w:spacing w:beforeAutospacing="0" w:afterAutospacing="0" w:line="560" w:lineRule="exact"/>
        <w:ind w:firstLine="640"/>
        <w:jc w:val="both"/>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三是加强政策解读与回应工作。通过各种方式加强政策解读与回应工作，切实让老百姓看得懂、愿意看。</w:t>
      </w:r>
    </w:p>
    <w:p>
      <w:pPr>
        <w:pStyle w:val="4"/>
        <w:numPr>
          <w:ilvl w:val="0"/>
          <w:numId w:val="0"/>
        </w:numPr>
        <w:shd w:val="clear" w:color="auto" w:fill="FFFFFF"/>
        <w:spacing w:beforeAutospacing="0" w:afterAutospacing="0" w:line="560" w:lineRule="exact"/>
        <w:ind w:firstLine="640" w:firstLineChars="200"/>
        <w:jc w:val="both"/>
        <w:rPr>
          <w:rFonts w:ascii="Times New Roman" w:hAnsi="Times New Roman" w:eastAsia="黑体"/>
          <w:bCs/>
          <w:color w:val="000000"/>
          <w:sz w:val="32"/>
          <w:szCs w:val="32"/>
        </w:rPr>
      </w:pPr>
      <w:r>
        <w:rPr>
          <w:rFonts w:hint="eastAsia" w:ascii="Times New Roman" w:hAnsi="黑体" w:eastAsia="黑体"/>
          <w:bCs/>
          <w:color w:val="000000"/>
          <w:sz w:val="32"/>
          <w:szCs w:val="32"/>
          <w:shd w:val="clear" w:color="auto" w:fill="FFFFFF"/>
        </w:rPr>
        <w:t>六、其他需要报告的事项</w:t>
      </w:r>
    </w:p>
    <w:p>
      <w:pPr>
        <w:spacing w:line="560" w:lineRule="exact"/>
        <w:ind w:firstLine="656" w:firstLineChars="205"/>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无</w:t>
      </w:r>
    </w:p>
    <w:p>
      <w:pPr>
        <w:spacing w:line="560" w:lineRule="exact"/>
        <w:rPr>
          <w:rFonts w:ascii="Times New Roman" w:hAnsi="Times New Roman" w:cs="Times New Roman"/>
          <w:color w:val="000000"/>
          <w:sz w:val="32"/>
          <w:szCs w:val="32"/>
        </w:rPr>
      </w:pPr>
    </w:p>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51AD9"/>
    <w:rsid w:val="05A51CEE"/>
    <w:rsid w:val="06074399"/>
    <w:rsid w:val="101E62EB"/>
    <w:rsid w:val="11F15E28"/>
    <w:rsid w:val="12E51AD9"/>
    <w:rsid w:val="19944351"/>
    <w:rsid w:val="28C952C6"/>
    <w:rsid w:val="296869F6"/>
    <w:rsid w:val="3E93356E"/>
    <w:rsid w:val="43E469A7"/>
    <w:rsid w:val="46491F0B"/>
    <w:rsid w:val="51844E96"/>
    <w:rsid w:val="547D099E"/>
    <w:rsid w:val="5A256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2020-01-19T07:58:00Z</dcterms:created>
  <dc:creator>Administrator</dc:creator>
  <cp:lastModifiedBy>Administrator</cp:lastModifiedBy>
  <cp:lastPrinted>2020-01-20T09:08:00Z</cp:lastPrinted>
  <dcterms:modified xsi:type="dcterms:W3CDTF">2020-01-28T02:18:22Z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