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Times New Roman" w:hAnsi="Times New Roman" w:eastAsia="方正小标宋简体" w:cs="Times New Roman"/>
          <w:bCs/>
          <w:color w:val="000000"/>
          <w:kern w:val="2"/>
          <w:sz w:val="44"/>
          <w:szCs w:val="44"/>
          <w:shd w:val="clear" w:color="auto" w:fill="FFFFFF"/>
          <w:lang w:val="en-US" w:eastAsia="zh-CN"/>
        </w:rPr>
      </w:pPr>
      <w:r>
        <w:rPr>
          <w:rFonts w:hint="eastAsia" w:ascii="Times New Roman" w:hAnsi="Times New Roman" w:eastAsia="方正小标宋简体" w:cs="Times New Roman"/>
          <w:bCs/>
          <w:color w:val="000000"/>
          <w:kern w:val="2"/>
          <w:sz w:val="44"/>
          <w:szCs w:val="44"/>
          <w:shd w:val="clear" w:color="auto" w:fill="FFFFFF"/>
          <w:lang w:val="en-US" w:eastAsia="zh-CN"/>
        </w:rPr>
        <w:t>上高县住房和城乡建设局2020年政府信息公开工作年度报告</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color w:val="000000"/>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本报告依据《中华人民共和国政府信息公开条例》（简称《条例》）和《国务院办公厅政府信息与政务公开办公室关于政府信息公开工作年度报告有关事项的通知》（国办公开办函〔2019〕60号）以及《江西省人民政府办公厅关于印发2020年江西省政务公开工作要点的通知》等相关文件要求，汇总上高县政府网站、各部门及乡镇政府信息公开平台数据编制而成。本年度报告中所列数据的统计期限自2020年1月1日起至2020年12月31日止。全文包括总体情况、主动公开政府信息情况、收到和处理政府信息公开申请情况、政府信息公开行政复议行政诉讼情况、存在的主要问题及改进情况、其他需要报告的事项。本报告通过上高县人民政府门户网（网址为http://www.shanggao.gov.cn）、“上高县政府网”政务微信等公共查阅场所予以公开。如对本报告有任何疑问，请与上高县</w:t>
      </w:r>
      <w:r>
        <w:rPr>
          <w:rFonts w:hint="eastAsia" w:ascii="Times New Roman" w:hAnsi="Times New Roman" w:eastAsia="仿宋_GB2312" w:cs="Times New Roman"/>
          <w:color w:val="000000"/>
          <w:kern w:val="0"/>
          <w:sz w:val="32"/>
          <w:szCs w:val="32"/>
          <w:lang w:val="en-US" w:eastAsia="zh-CN"/>
        </w:rPr>
        <w:t>住房和城乡建设局</w:t>
      </w:r>
      <w:r>
        <w:rPr>
          <w:rFonts w:hint="eastAsia" w:ascii="Times New Roman" w:hAnsi="Times New Roman" w:eastAsia="仿宋_GB2312" w:cs="Times New Roman"/>
          <w:color w:val="000000"/>
          <w:kern w:val="0"/>
          <w:sz w:val="32"/>
          <w:szCs w:val="32"/>
        </w:rPr>
        <w:t>办公室联系（地址：上高县</w:t>
      </w:r>
      <w:r>
        <w:rPr>
          <w:rFonts w:hint="eastAsia" w:ascii="Times New Roman" w:hAnsi="Times New Roman" w:eastAsia="仿宋_GB2312" w:cs="Times New Roman"/>
          <w:color w:val="000000"/>
          <w:kern w:val="0"/>
          <w:sz w:val="32"/>
          <w:szCs w:val="32"/>
          <w:lang w:val="en-US" w:eastAsia="zh-CN"/>
        </w:rPr>
        <w:t>交通路12</w:t>
      </w:r>
      <w:r>
        <w:rPr>
          <w:rFonts w:hint="eastAsia" w:ascii="Times New Roman" w:hAnsi="Times New Roman" w:eastAsia="仿宋_GB2312" w:cs="Times New Roman"/>
          <w:color w:val="000000"/>
          <w:kern w:val="0"/>
          <w:sz w:val="32"/>
          <w:szCs w:val="32"/>
        </w:rPr>
        <w:t>号，电话：0795-2511</w:t>
      </w:r>
      <w:r>
        <w:rPr>
          <w:rFonts w:hint="eastAsia" w:ascii="Times New Roman" w:hAnsi="Times New Roman" w:eastAsia="仿宋_GB2312" w:cs="Times New Roman"/>
          <w:color w:val="000000"/>
          <w:kern w:val="0"/>
          <w:sz w:val="32"/>
          <w:szCs w:val="32"/>
          <w:lang w:val="en-US" w:eastAsia="zh-CN"/>
        </w:rPr>
        <w:t>924</w:t>
      </w:r>
      <w:r>
        <w:rPr>
          <w:rFonts w:hint="eastAsia" w:ascii="Times New Roman" w:hAnsi="Times New Roman" w:eastAsia="仿宋_GB2312" w:cs="Times New Roman"/>
          <w:color w:val="000000"/>
          <w:kern w:val="0"/>
          <w:sz w:val="32"/>
          <w:szCs w:val="32"/>
        </w:rPr>
        <w:t>，邮编：336400）。</w:t>
      </w:r>
    </w:p>
    <w:p>
      <w:pPr>
        <w:widowControl/>
        <w:shd w:val="clear" w:color="auto" w:fill="FFFFFF"/>
        <w:spacing w:line="560" w:lineRule="exact"/>
        <w:ind w:firstLine="640"/>
        <w:rPr>
          <w:rFonts w:ascii="Times New Roman" w:hAnsi="Times New Roman" w:eastAsia="黑体" w:cs="Times New Roman"/>
          <w:color w:val="000000"/>
          <w:kern w:val="0"/>
          <w:sz w:val="32"/>
          <w:szCs w:val="32"/>
        </w:rPr>
      </w:pPr>
      <w:bookmarkStart w:id="0" w:name="_GoBack"/>
      <w:r>
        <w:rPr>
          <w:rFonts w:ascii="Times New Roman" w:hAnsi="Times New Roman" w:eastAsia="黑体" w:cs="Times New Roman"/>
          <w:color w:val="000000"/>
          <w:kern w:val="0"/>
          <w:sz w:val="32"/>
          <w:szCs w:val="32"/>
        </w:rPr>
        <w:t>一、总体情况</w:t>
      </w:r>
    </w:p>
    <w:p>
      <w:pPr>
        <w:widowControl/>
        <w:shd w:val="clear" w:color="auto" w:fill="FFFFFF"/>
        <w:spacing w:line="560" w:lineRule="exact"/>
        <w:ind w:firstLine="640"/>
        <w:rPr>
          <w:rFonts w:hint="eastAsia" w:ascii="Times New Roman" w:hAnsi="Times New Roman" w:eastAsia="仿宋_GB2312" w:cs="Times New Roman"/>
          <w:b w:val="0"/>
          <w:bCs w:val="0"/>
          <w:color w:val="000000"/>
          <w:kern w:val="0"/>
          <w:sz w:val="32"/>
          <w:szCs w:val="32"/>
          <w:lang w:val="en-US" w:eastAsia="zh-CN" w:bidi="ar-SA"/>
        </w:rPr>
      </w:pPr>
      <w:r>
        <w:rPr>
          <w:rFonts w:hint="eastAsia" w:ascii="Times New Roman" w:hAnsi="Times New Roman" w:eastAsia="仿宋_GB2312" w:cs="Times New Roman"/>
          <w:b w:val="0"/>
          <w:bCs w:val="0"/>
          <w:color w:val="000000"/>
          <w:kern w:val="0"/>
          <w:sz w:val="32"/>
          <w:szCs w:val="32"/>
          <w:lang w:val="en-US" w:eastAsia="zh-CN" w:bidi="ar-SA"/>
        </w:rPr>
        <w:t>2020年在县委、县政府的正确领导下，在县信息中心的精心指导下，县住房和城乡建设局严格贯彻落实中央、省、市、县关于规范政务公开流程，拓宽信息公开渠道，加大信息公开力度等要求，进一步健全工作机制，规范政务公开形式和内容，使政府信息公开工作透明度不断提高，取得了良好的成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ascii="SourceHanSansCN-Regular" w:hAnsi="SourceHanSansCN-Regular" w:eastAsia="SourceHanSansCN-Regular" w:cs="SourceHanSansCN-Regular"/>
          <w:i w:val="0"/>
          <w:iCs w:val="0"/>
          <w:caps w:val="0"/>
          <w:color w:val="333333"/>
          <w:spacing w:val="0"/>
          <w:sz w:val="25"/>
          <w:szCs w:val="25"/>
        </w:rPr>
      </w:pPr>
      <w:r>
        <w:rPr>
          <w:rFonts w:ascii="楷体" w:hAnsi="楷体" w:eastAsia="楷体" w:cs="楷体"/>
          <w:b/>
          <w:bCs/>
          <w:i w:val="0"/>
          <w:iCs w:val="0"/>
          <w:caps w:val="0"/>
          <w:color w:val="000000"/>
          <w:spacing w:val="0"/>
          <w:kern w:val="0"/>
          <w:sz w:val="32"/>
          <w:szCs w:val="32"/>
          <w:bdr w:val="none" w:color="auto" w:sz="0" w:space="0"/>
          <w:shd w:val="clear" w:fill="FFFFFF"/>
          <w:lang w:val="en-US" w:eastAsia="zh-CN" w:bidi="ar"/>
        </w:rPr>
        <w:t>（一）主动公开政府信息情况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default" w:ascii="SourceHanSansCN-Regular" w:hAnsi="SourceHanSansCN-Regular" w:eastAsia="SourceHanSansCN-Regular" w:cs="SourceHanSansCN-Regular"/>
          <w:i w:val="0"/>
          <w:iCs w:val="0"/>
          <w:caps w:val="0"/>
          <w:color w:val="333333"/>
          <w:spacing w:val="0"/>
          <w:sz w:val="25"/>
          <w:szCs w:val="25"/>
        </w:rPr>
      </w:pPr>
      <w:r>
        <w:rPr>
          <w:rFonts w:ascii="仿宋" w:hAnsi="仿宋" w:eastAsia="仿宋" w:cs="仿宋"/>
          <w:i w:val="0"/>
          <w:iCs w:val="0"/>
          <w:caps w:val="0"/>
          <w:color w:val="000000"/>
          <w:spacing w:val="0"/>
          <w:kern w:val="0"/>
          <w:sz w:val="32"/>
          <w:szCs w:val="32"/>
          <w:bdr w:val="none" w:color="auto" w:sz="0" w:space="0"/>
          <w:shd w:val="clear" w:fill="FFFFFF"/>
          <w:lang w:val="en-US" w:eastAsia="zh-CN" w:bidi="ar"/>
        </w:rPr>
        <w:t>截至</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2020年12月31日，我局通过上高县政府信息公开平台，主动公开信息143条。主要有单位概况信息、行政许可、公租房分配、重大项目信息、招投标信息、其他方面工作动态等内容。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default" w:ascii="SourceHanSansCN-Regular" w:hAnsi="SourceHanSansCN-Regular" w:eastAsia="SourceHanSansCN-Regular" w:cs="SourceHanSansCN-Regular"/>
          <w:i w:val="0"/>
          <w:iCs w:val="0"/>
          <w:caps w:val="0"/>
          <w:color w:val="333333"/>
          <w:spacing w:val="0"/>
          <w:sz w:val="25"/>
          <w:szCs w:val="25"/>
        </w:rPr>
      </w:pPr>
      <w:r>
        <w:rPr>
          <w:rFonts w:hint="eastAsia" w:ascii="楷体" w:hAnsi="楷体" w:eastAsia="楷体" w:cs="楷体"/>
          <w:b/>
          <w:bCs/>
          <w:i w:val="0"/>
          <w:iCs w:val="0"/>
          <w:caps w:val="0"/>
          <w:color w:val="000000"/>
          <w:spacing w:val="0"/>
          <w:kern w:val="0"/>
          <w:sz w:val="32"/>
          <w:szCs w:val="32"/>
          <w:bdr w:val="none" w:color="auto" w:sz="0" w:space="0"/>
          <w:shd w:val="clear" w:fill="FFFFFF"/>
          <w:lang w:val="en-US" w:eastAsia="zh-CN" w:bidi="ar"/>
        </w:rPr>
        <w:t>（二）依申请公开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default" w:ascii="SourceHanSansCN-Regular" w:hAnsi="SourceHanSansCN-Regular" w:eastAsia="SourceHanSansCN-Regular" w:cs="SourceHanSansCN-Regular"/>
          <w:i w:val="0"/>
          <w:iCs w:val="0"/>
          <w:caps w:val="0"/>
          <w:color w:val="333333"/>
          <w:spacing w:val="0"/>
          <w:sz w:val="25"/>
          <w:szCs w:val="25"/>
        </w:rPr>
      </w:pP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2020年，我单位未接到任何形式的政府信息公开申请，同时也没有公开任何不应向社会公开的政府信息。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default" w:ascii="SourceHanSansCN-Regular" w:hAnsi="SourceHanSansCN-Regular" w:eastAsia="SourceHanSansCN-Regular" w:cs="SourceHanSansCN-Regular"/>
          <w:i w:val="0"/>
          <w:iCs w:val="0"/>
          <w:caps w:val="0"/>
          <w:color w:val="333333"/>
          <w:spacing w:val="0"/>
          <w:sz w:val="25"/>
          <w:szCs w:val="25"/>
        </w:rPr>
      </w:pPr>
      <w:r>
        <w:rPr>
          <w:rFonts w:hint="eastAsia" w:ascii="楷体" w:hAnsi="楷体" w:eastAsia="楷体" w:cs="楷体"/>
          <w:b/>
          <w:bCs/>
          <w:i w:val="0"/>
          <w:iCs w:val="0"/>
          <w:caps w:val="0"/>
          <w:color w:val="000000"/>
          <w:spacing w:val="0"/>
          <w:kern w:val="0"/>
          <w:sz w:val="32"/>
          <w:szCs w:val="32"/>
          <w:bdr w:val="none" w:color="auto" w:sz="0" w:space="0"/>
          <w:shd w:val="clear" w:fill="FFFFFF"/>
          <w:lang w:val="en-US" w:eastAsia="zh-CN" w:bidi="ar"/>
        </w:rPr>
        <w:t>（三）政府信息管理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default" w:ascii="SourceHanSansCN-Regular" w:hAnsi="SourceHanSansCN-Regular" w:eastAsia="SourceHanSansCN-Regular" w:cs="SourceHanSansCN-Regular"/>
          <w:i w:val="0"/>
          <w:iCs w:val="0"/>
          <w:caps w:val="0"/>
          <w:color w:val="333333"/>
          <w:spacing w:val="0"/>
          <w:sz w:val="25"/>
          <w:szCs w:val="25"/>
        </w:rPr>
      </w:pP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建立各项制度，形成长效机制。为保证我局政府信息公开工作顺利进行，根据《条例》，及时修订了《上高县住房和城乡建设局关于政府信息公开的管理规定》，对我局信息公开的范围、主体、方式、程序和监督等内容作了进一步的充实和完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default" w:ascii="SourceHanSansCN-Regular" w:hAnsi="SourceHanSansCN-Regular" w:eastAsia="SourceHanSansCN-Regular" w:cs="SourceHanSansCN-Regular"/>
          <w:i w:val="0"/>
          <w:iCs w:val="0"/>
          <w:caps w:val="0"/>
          <w:color w:val="333333"/>
          <w:spacing w:val="0"/>
          <w:sz w:val="25"/>
          <w:szCs w:val="25"/>
        </w:rPr>
      </w:pPr>
      <w:r>
        <w:rPr>
          <w:rFonts w:hint="eastAsia" w:ascii="楷体" w:hAnsi="楷体" w:eastAsia="楷体" w:cs="楷体"/>
          <w:b/>
          <w:bCs/>
          <w:i w:val="0"/>
          <w:iCs w:val="0"/>
          <w:caps w:val="0"/>
          <w:color w:val="000000"/>
          <w:spacing w:val="0"/>
          <w:kern w:val="0"/>
          <w:sz w:val="32"/>
          <w:szCs w:val="32"/>
          <w:bdr w:val="none" w:color="auto" w:sz="0" w:space="0"/>
          <w:shd w:val="clear" w:fill="FFFFFF"/>
          <w:lang w:val="en-US" w:eastAsia="zh-CN" w:bidi="ar"/>
        </w:rPr>
        <w:t>（四）监督保障</w:t>
      </w:r>
    </w:p>
    <w:p>
      <w:pPr>
        <w:widowControl/>
        <w:shd w:val="clear" w:color="auto" w:fill="FFFFFF"/>
        <w:spacing w:line="560" w:lineRule="exact"/>
        <w:ind w:firstLine="640"/>
        <w:rPr>
          <w:rFonts w:hint="eastAsia" w:ascii="Times New Roman" w:hAnsi="Times New Roman" w:eastAsia="仿宋_GB2312" w:cs="Times New Roman"/>
          <w:b w:val="0"/>
          <w:bCs w:val="0"/>
          <w:color w:val="000000"/>
          <w:kern w:val="0"/>
          <w:sz w:val="32"/>
          <w:szCs w:val="32"/>
          <w:lang w:val="en-US" w:eastAsia="zh-CN" w:bidi="ar-SA"/>
        </w:rPr>
      </w:pPr>
      <w:r>
        <w:rPr>
          <w:rFonts w:hint="eastAsia" w:ascii="Times New Roman" w:hAnsi="Times New Roman" w:eastAsia="仿宋_GB2312" w:cs="Times New Roman"/>
          <w:b/>
          <w:bCs/>
          <w:color w:val="000000"/>
          <w:kern w:val="0"/>
          <w:sz w:val="32"/>
          <w:szCs w:val="32"/>
          <w:lang w:val="en-US" w:eastAsia="zh-CN" w:bidi="ar-SA"/>
        </w:rPr>
        <w:t>1.建立政府信息公开工作组织领导制度。</w:t>
      </w:r>
      <w:r>
        <w:rPr>
          <w:rFonts w:hint="eastAsia" w:ascii="Times New Roman" w:hAnsi="Times New Roman" w:eastAsia="仿宋_GB2312" w:cs="Times New Roman"/>
          <w:b w:val="0"/>
          <w:bCs w:val="0"/>
          <w:color w:val="000000"/>
          <w:kern w:val="0"/>
          <w:sz w:val="32"/>
          <w:szCs w:val="32"/>
          <w:lang w:val="en-US" w:eastAsia="zh-CN" w:bidi="ar-SA"/>
        </w:rPr>
        <w:t xml:space="preserve">我局把信息公开工作列入重要议事日程，由局党委统一领导，定期进行研究部署，成立了以局长为组长，其他班子成员为副组长、各科室主要负责人为成员的信息公开工作领导小组。发布政府信息遵循及时、准确、一致、便民的原则，提高办事效率，提供优质服务。主动公开的政府信息，以通过政府网站等便于公众知晓的方式公开。 </w:t>
      </w:r>
    </w:p>
    <w:p>
      <w:pPr>
        <w:widowControl/>
        <w:shd w:val="clear" w:color="auto" w:fill="FFFFFF"/>
        <w:spacing w:line="560" w:lineRule="exact"/>
        <w:ind w:firstLine="640"/>
        <w:rPr>
          <w:rFonts w:hint="eastAsia" w:ascii="Times New Roman" w:hAnsi="Times New Roman" w:eastAsia="仿宋_GB2312" w:cs="Times New Roman"/>
          <w:b w:val="0"/>
          <w:bCs w:val="0"/>
          <w:color w:val="000000"/>
          <w:kern w:val="0"/>
          <w:sz w:val="32"/>
          <w:szCs w:val="32"/>
          <w:lang w:val="en-US" w:eastAsia="zh-CN" w:bidi="ar-SA"/>
        </w:rPr>
      </w:pPr>
      <w:r>
        <w:rPr>
          <w:rFonts w:hint="eastAsia" w:ascii="Times New Roman" w:hAnsi="Times New Roman" w:eastAsia="仿宋_GB2312" w:cs="Times New Roman"/>
          <w:b/>
          <w:bCs/>
          <w:color w:val="000000"/>
          <w:kern w:val="0"/>
          <w:sz w:val="32"/>
          <w:szCs w:val="32"/>
          <w:lang w:val="en-US" w:eastAsia="zh-CN" w:bidi="ar-SA"/>
        </w:rPr>
        <w:t>2.制定推进政府信息公开工作方案。</w:t>
      </w:r>
      <w:r>
        <w:rPr>
          <w:rFonts w:hint="eastAsia" w:ascii="Times New Roman" w:hAnsi="Times New Roman" w:eastAsia="仿宋_GB2312" w:cs="Times New Roman"/>
          <w:b w:val="0"/>
          <w:bCs w:val="0"/>
          <w:color w:val="000000"/>
          <w:kern w:val="0"/>
          <w:sz w:val="32"/>
          <w:szCs w:val="32"/>
          <w:lang w:val="en-US" w:eastAsia="zh-CN" w:bidi="ar-SA"/>
        </w:rPr>
        <w:t>推进政府信息公开是贯彻落实《中华人民共和国政府信息公开条例》的重要举措。我局结合住建工作实际，制定了推进政府信息公开的工作方案,明确了政府信息公开的内容、形式、程序和保障监督措施，并对各项工作都作了明确的分工，明确规范内部工作流转程序。同时加强了制度建设，并认真贯彻执行，加强了对住建领域政府信息公开属性的审核、加强了保密审查机制建设，从而有效的推进了政府住建信息的公开，促进了政府信息公开工作制度化、规范化建设。</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rPr>
          <w:rFonts w:hint="default" w:ascii="Calibri" w:hAnsi="Calibri" w:cs="Calibri"/>
          <w:i w:val="0"/>
          <w:caps w:val="0"/>
          <w:color w:val="333333"/>
          <w:spacing w:val="0"/>
          <w:sz w:val="24"/>
          <w:szCs w:val="24"/>
        </w:rPr>
      </w:pPr>
      <w:r>
        <w:rPr>
          <w:rFonts w:hint="eastAsia" w:ascii="黑体" w:hAnsi="宋体" w:eastAsia="黑体" w:cs="黑体"/>
          <w:i w:val="0"/>
          <w:caps w:val="0"/>
          <w:color w:val="000000"/>
          <w:spacing w:val="0"/>
          <w:sz w:val="32"/>
          <w:szCs w:val="32"/>
          <w:shd w:val="clear" w:fill="FFFFFF"/>
        </w:rPr>
        <w:t>二、主动公开政府信息情况</w:t>
      </w:r>
    </w:p>
    <w:tbl>
      <w:tblPr>
        <w:tblStyle w:val="4"/>
        <w:tblW w:w="849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705"/>
        <w:gridCol w:w="2462"/>
        <w:gridCol w:w="2026"/>
        <w:gridCol w:w="229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8484" w:type="dxa"/>
            <w:gridSpan w:val="4"/>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8"/>
                <w:szCs w:val="28"/>
              </w:rPr>
              <w:t>第二十条第（一）项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1704"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8"/>
                <w:szCs w:val="28"/>
              </w:rPr>
              <w:t>信息内容</w:t>
            </w:r>
          </w:p>
        </w:tc>
        <w:tc>
          <w:tcPr>
            <w:tcW w:w="2460"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8"/>
                <w:szCs w:val="28"/>
              </w:rPr>
              <w:t>本年新制作数量</w:t>
            </w:r>
          </w:p>
        </w:tc>
        <w:tc>
          <w:tcPr>
            <w:tcW w:w="2025"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8"/>
                <w:szCs w:val="28"/>
              </w:rPr>
              <w:t>本年新公开数量</w:t>
            </w:r>
          </w:p>
        </w:tc>
        <w:tc>
          <w:tcPr>
            <w:tcW w:w="2295"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8"/>
                <w:szCs w:val="28"/>
              </w:rPr>
              <w:t>对外公开总数量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1704"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8"/>
                <w:szCs w:val="28"/>
              </w:rPr>
              <w:t>规</w:t>
            </w:r>
            <w:r>
              <w:rPr>
                <w:rFonts w:hint="default" w:ascii="Times New Roman" w:hAnsi="Times New Roman" w:eastAsia="SourceHanSansCN-Regular" w:cs="Times New Roman"/>
                <w:i w:val="0"/>
                <w:caps w:val="0"/>
                <w:color w:val="000000"/>
                <w:spacing w:val="0"/>
                <w:sz w:val="28"/>
                <w:szCs w:val="28"/>
              </w:rPr>
              <w:t>    </w:t>
            </w:r>
            <w:r>
              <w:rPr>
                <w:rFonts w:hint="eastAsia" w:ascii="宋体" w:hAnsi="宋体" w:eastAsia="宋体" w:cs="宋体"/>
                <w:i w:val="0"/>
                <w:caps w:val="0"/>
                <w:color w:val="000000"/>
                <w:spacing w:val="0"/>
                <w:sz w:val="28"/>
                <w:szCs w:val="28"/>
              </w:rPr>
              <w:t>章</w:t>
            </w:r>
          </w:p>
        </w:tc>
        <w:tc>
          <w:tcPr>
            <w:tcW w:w="2460"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rPr>
                <w:rFonts w:hint="default" w:ascii="Calibri" w:hAnsi="Calibri" w:cs="Calibri"/>
                <w:sz w:val="21"/>
                <w:szCs w:val="21"/>
              </w:rPr>
            </w:pPr>
            <w:r>
              <w:rPr>
                <w:rFonts w:hint="default" w:ascii="Times New Roman" w:hAnsi="Times New Roman" w:eastAsia="SourceHanSansCN-Regular" w:cs="Times New Roman"/>
                <w:i w:val="0"/>
                <w:caps w:val="0"/>
                <w:color w:val="000000"/>
                <w:spacing w:val="0"/>
                <w:sz w:val="28"/>
                <w:szCs w:val="28"/>
              </w:rPr>
              <w:t>0</w:t>
            </w:r>
          </w:p>
        </w:tc>
        <w:tc>
          <w:tcPr>
            <w:tcW w:w="2025"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rPr>
                <w:rFonts w:hint="default" w:ascii="Calibri" w:hAnsi="Calibri" w:cs="Calibri"/>
                <w:sz w:val="21"/>
                <w:szCs w:val="21"/>
              </w:rPr>
            </w:pPr>
            <w:r>
              <w:rPr>
                <w:rFonts w:hint="default" w:ascii="Times New Roman" w:hAnsi="Times New Roman" w:eastAsia="SourceHanSansCN-Regular" w:cs="Times New Roman"/>
                <w:i w:val="0"/>
                <w:caps w:val="0"/>
                <w:color w:val="000000"/>
                <w:spacing w:val="0"/>
                <w:sz w:val="28"/>
                <w:szCs w:val="28"/>
              </w:rPr>
              <w:t>0</w:t>
            </w:r>
          </w:p>
        </w:tc>
        <w:tc>
          <w:tcPr>
            <w:tcW w:w="2295"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rPr>
                <w:rFonts w:hint="default" w:ascii="Calibri" w:hAnsi="Calibri" w:cs="Calibri"/>
                <w:sz w:val="21"/>
                <w:szCs w:val="21"/>
              </w:rPr>
            </w:pPr>
            <w:r>
              <w:rPr>
                <w:rFonts w:hint="default" w:ascii="Times New Roman" w:hAnsi="Times New Roman" w:eastAsia="SourceHanSansCN-Regular" w:cs="Times New Roman"/>
                <w:i w:val="0"/>
                <w:caps w:val="0"/>
                <w:color w:val="000000"/>
                <w:spacing w:val="0"/>
                <w:sz w:val="28"/>
                <w:szCs w:val="2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1704"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8"/>
                <w:szCs w:val="28"/>
              </w:rPr>
              <w:t>规范性文件</w:t>
            </w:r>
          </w:p>
        </w:tc>
        <w:tc>
          <w:tcPr>
            <w:tcW w:w="2460"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rPr>
                <w:rFonts w:hint="eastAsia" w:ascii="Calibri" w:hAnsi="Calibri" w:cs="Calibri" w:eastAsiaTheme="minorEastAsia"/>
                <w:sz w:val="21"/>
                <w:szCs w:val="21"/>
                <w:lang w:eastAsia="zh-CN"/>
              </w:rPr>
            </w:pPr>
            <w:r>
              <w:rPr>
                <w:rFonts w:hint="eastAsia" w:ascii="Times New Roman" w:hAnsi="Times New Roman" w:eastAsia="宋体" w:cs="Times New Roman"/>
                <w:i w:val="0"/>
                <w:caps w:val="0"/>
                <w:color w:val="000000"/>
                <w:spacing w:val="0"/>
                <w:sz w:val="28"/>
                <w:szCs w:val="28"/>
                <w:lang w:val="en-US" w:eastAsia="zh-CN"/>
              </w:rPr>
              <w:t>0</w:t>
            </w:r>
          </w:p>
        </w:tc>
        <w:tc>
          <w:tcPr>
            <w:tcW w:w="2025"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rPr>
                <w:rFonts w:hint="eastAsia" w:ascii="Calibri" w:hAnsi="Calibri" w:cs="Calibri" w:eastAsiaTheme="minorEastAsia"/>
                <w:sz w:val="21"/>
                <w:szCs w:val="21"/>
                <w:lang w:eastAsia="zh-CN"/>
              </w:rPr>
            </w:pPr>
            <w:r>
              <w:rPr>
                <w:rFonts w:hint="eastAsia" w:ascii="Times New Roman" w:hAnsi="Times New Roman" w:eastAsia="宋体" w:cs="Times New Roman"/>
                <w:i w:val="0"/>
                <w:caps w:val="0"/>
                <w:color w:val="000000"/>
                <w:spacing w:val="0"/>
                <w:sz w:val="28"/>
                <w:szCs w:val="28"/>
                <w:lang w:val="en-US" w:eastAsia="zh-CN"/>
              </w:rPr>
              <w:t>0</w:t>
            </w:r>
          </w:p>
        </w:tc>
        <w:tc>
          <w:tcPr>
            <w:tcW w:w="2295"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rPr>
                <w:rFonts w:hint="eastAsia" w:ascii="Calibri" w:hAnsi="Calibri" w:cs="Calibri" w:eastAsiaTheme="minorEastAsia"/>
                <w:sz w:val="21"/>
                <w:szCs w:val="21"/>
                <w:lang w:eastAsia="zh-CN"/>
              </w:rPr>
            </w:pPr>
            <w:r>
              <w:rPr>
                <w:rFonts w:hint="eastAsia" w:ascii="Times New Roman" w:hAnsi="Times New Roman" w:eastAsia="宋体" w:cs="Times New Roman"/>
                <w:i w:val="0"/>
                <w:caps w:val="0"/>
                <w:color w:val="000000"/>
                <w:spacing w:val="0"/>
                <w:sz w:val="28"/>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8484" w:type="dxa"/>
            <w:gridSpan w:val="4"/>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8"/>
                <w:szCs w:val="28"/>
              </w:rPr>
              <w:t>第二十条第（五）项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1704"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8"/>
                <w:szCs w:val="28"/>
              </w:rPr>
              <w:t>信息内容</w:t>
            </w:r>
          </w:p>
        </w:tc>
        <w:tc>
          <w:tcPr>
            <w:tcW w:w="2460"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8"/>
                <w:szCs w:val="28"/>
              </w:rPr>
              <w:t>上一年项目数量</w:t>
            </w:r>
          </w:p>
        </w:tc>
        <w:tc>
          <w:tcPr>
            <w:tcW w:w="2025"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8"/>
                <w:szCs w:val="28"/>
              </w:rPr>
              <w:t>本年增</w:t>
            </w:r>
            <w:r>
              <w:rPr>
                <w:rFonts w:hint="default" w:ascii="Times New Roman" w:hAnsi="Times New Roman" w:eastAsia="SourceHanSansCN-Regular" w:cs="Times New Roman"/>
                <w:i w:val="0"/>
                <w:caps w:val="0"/>
                <w:color w:val="000000"/>
                <w:spacing w:val="0"/>
                <w:sz w:val="28"/>
                <w:szCs w:val="28"/>
              </w:rPr>
              <w:t>/</w:t>
            </w:r>
            <w:r>
              <w:rPr>
                <w:rFonts w:hint="eastAsia" w:ascii="宋体" w:hAnsi="宋体" w:eastAsia="宋体" w:cs="宋体"/>
                <w:i w:val="0"/>
                <w:caps w:val="0"/>
                <w:color w:val="000000"/>
                <w:spacing w:val="0"/>
                <w:sz w:val="28"/>
                <w:szCs w:val="28"/>
              </w:rPr>
              <w:t>减</w:t>
            </w:r>
          </w:p>
        </w:tc>
        <w:tc>
          <w:tcPr>
            <w:tcW w:w="2295"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8"/>
                <w:szCs w:val="28"/>
              </w:rPr>
              <w:t>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10" w:hRule="atLeast"/>
        </w:trPr>
        <w:tc>
          <w:tcPr>
            <w:tcW w:w="1704"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8"/>
                <w:szCs w:val="28"/>
              </w:rPr>
              <w:t>行政许可</w:t>
            </w:r>
          </w:p>
        </w:tc>
        <w:tc>
          <w:tcPr>
            <w:tcW w:w="2460"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rPr>
                <w:rFonts w:hint="default" w:ascii="Calibri" w:hAnsi="Calibri" w:cs="Calibri" w:eastAsiaTheme="minorEastAsia"/>
                <w:sz w:val="21"/>
                <w:szCs w:val="21"/>
                <w:lang w:val="en-US" w:eastAsia="zh-CN"/>
              </w:rPr>
            </w:pPr>
            <w:r>
              <w:rPr>
                <w:rFonts w:hint="eastAsia" w:ascii="Times New Roman" w:hAnsi="Times New Roman" w:eastAsia="宋体" w:cs="Times New Roman"/>
                <w:i w:val="0"/>
                <w:caps w:val="0"/>
                <w:color w:val="000000"/>
                <w:spacing w:val="0"/>
                <w:sz w:val="28"/>
                <w:szCs w:val="28"/>
                <w:lang w:val="en-US" w:eastAsia="zh-CN"/>
              </w:rPr>
              <w:t>110</w:t>
            </w:r>
          </w:p>
        </w:tc>
        <w:tc>
          <w:tcPr>
            <w:tcW w:w="2025"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rPr>
                <w:rFonts w:hint="default" w:ascii="Calibri" w:hAnsi="Calibri" w:cs="Calibri" w:eastAsiaTheme="minorEastAsia"/>
                <w:sz w:val="21"/>
                <w:szCs w:val="21"/>
                <w:lang w:val="en-US" w:eastAsia="zh-CN"/>
              </w:rPr>
            </w:pPr>
            <w:r>
              <w:rPr>
                <w:rFonts w:hint="eastAsia" w:ascii="Calibri" w:hAnsi="Calibri" w:cs="Calibri"/>
                <w:sz w:val="21"/>
                <w:szCs w:val="21"/>
                <w:lang w:val="en-US" w:eastAsia="zh-CN"/>
              </w:rPr>
              <w:t>+43</w:t>
            </w:r>
          </w:p>
        </w:tc>
        <w:tc>
          <w:tcPr>
            <w:tcW w:w="2295"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rPr>
                <w:rFonts w:hint="default" w:ascii="Calibri" w:hAnsi="Calibri" w:cs="Calibri" w:eastAsiaTheme="minorEastAsia"/>
                <w:sz w:val="21"/>
                <w:szCs w:val="21"/>
                <w:lang w:val="en-US" w:eastAsia="zh-CN"/>
              </w:rPr>
            </w:pPr>
            <w:r>
              <w:rPr>
                <w:rFonts w:hint="eastAsia" w:ascii="Calibri" w:hAnsi="Calibri" w:cs="Calibri"/>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704"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8"/>
                <w:szCs w:val="28"/>
              </w:rPr>
              <w:t>其他对外管理服务事项</w:t>
            </w:r>
          </w:p>
        </w:tc>
        <w:tc>
          <w:tcPr>
            <w:tcW w:w="2460"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rPr>
                <w:rFonts w:hint="eastAsia" w:ascii="Calibri" w:hAnsi="Calibri" w:cs="Calibri" w:eastAsiaTheme="minorEastAsia"/>
                <w:sz w:val="21"/>
                <w:szCs w:val="21"/>
                <w:lang w:val="en-US" w:eastAsia="zh-CN"/>
              </w:rPr>
            </w:pPr>
            <w:r>
              <w:rPr>
                <w:rFonts w:hint="eastAsia" w:ascii="Calibri" w:hAnsi="Calibri" w:cs="Calibri"/>
                <w:sz w:val="21"/>
                <w:szCs w:val="21"/>
                <w:lang w:val="en-US" w:eastAsia="zh-CN"/>
              </w:rPr>
              <w:t>0</w:t>
            </w:r>
          </w:p>
        </w:tc>
        <w:tc>
          <w:tcPr>
            <w:tcW w:w="2025"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rPr>
                <w:rFonts w:hint="default" w:ascii="Calibri" w:hAnsi="Calibri" w:cs="Calibri"/>
                <w:sz w:val="21"/>
                <w:szCs w:val="21"/>
              </w:rPr>
            </w:pPr>
            <w:r>
              <w:rPr>
                <w:rFonts w:hint="eastAsia" w:ascii="Times New Roman" w:hAnsi="Times New Roman" w:eastAsia="宋体" w:cs="Times New Roman"/>
                <w:i w:val="0"/>
                <w:caps w:val="0"/>
                <w:color w:val="000000"/>
                <w:spacing w:val="0"/>
                <w:sz w:val="28"/>
                <w:szCs w:val="28"/>
                <w:lang w:val="en-US" w:eastAsia="zh-CN"/>
              </w:rPr>
              <w:t>0</w:t>
            </w:r>
            <w:r>
              <w:rPr>
                <w:rFonts w:hint="default" w:ascii="Times New Roman" w:hAnsi="Times New Roman" w:eastAsia="SourceHanSansCN-Regular" w:cs="Times New Roman"/>
                <w:i w:val="0"/>
                <w:caps w:val="0"/>
                <w:color w:val="000000"/>
                <w:spacing w:val="0"/>
                <w:sz w:val="28"/>
                <w:szCs w:val="28"/>
              </w:rPr>
              <w:t> </w:t>
            </w:r>
          </w:p>
        </w:tc>
        <w:tc>
          <w:tcPr>
            <w:tcW w:w="2295"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rPr>
                <w:rFonts w:hint="eastAsia" w:ascii="Calibri" w:hAnsi="Calibri" w:cs="Calibri" w:eastAsiaTheme="minorEastAsia"/>
                <w:sz w:val="21"/>
                <w:szCs w:val="21"/>
                <w:lang w:val="en-US" w:eastAsia="zh-CN"/>
              </w:rPr>
            </w:pPr>
            <w:r>
              <w:rPr>
                <w:rFonts w:hint="eastAsia" w:ascii="Calibri" w:hAnsi="Calibri" w:cs="Calibri"/>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8484" w:type="dxa"/>
            <w:gridSpan w:val="4"/>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8"/>
                <w:szCs w:val="28"/>
              </w:rPr>
              <w:t>第二十条第（六）项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22" w:hRule="atLeast"/>
        </w:trPr>
        <w:tc>
          <w:tcPr>
            <w:tcW w:w="1704"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8"/>
                <w:szCs w:val="28"/>
              </w:rPr>
              <w:t>信息内容</w:t>
            </w:r>
          </w:p>
        </w:tc>
        <w:tc>
          <w:tcPr>
            <w:tcW w:w="2460"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8"/>
                <w:szCs w:val="28"/>
              </w:rPr>
              <w:t>上一年项目数量</w:t>
            </w:r>
          </w:p>
        </w:tc>
        <w:tc>
          <w:tcPr>
            <w:tcW w:w="2025"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8"/>
                <w:szCs w:val="28"/>
              </w:rPr>
              <w:t>本年增</w:t>
            </w:r>
            <w:r>
              <w:rPr>
                <w:rFonts w:hint="default" w:ascii="Times New Roman" w:hAnsi="Times New Roman" w:eastAsia="SourceHanSansCN-Regular" w:cs="Times New Roman"/>
                <w:i w:val="0"/>
                <w:caps w:val="0"/>
                <w:color w:val="000000"/>
                <w:spacing w:val="0"/>
                <w:sz w:val="28"/>
                <w:szCs w:val="28"/>
              </w:rPr>
              <w:t>/</w:t>
            </w:r>
            <w:r>
              <w:rPr>
                <w:rFonts w:hint="eastAsia" w:ascii="宋体" w:hAnsi="宋体" w:eastAsia="宋体" w:cs="宋体"/>
                <w:i w:val="0"/>
                <w:caps w:val="0"/>
                <w:color w:val="000000"/>
                <w:spacing w:val="0"/>
                <w:sz w:val="28"/>
                <w:szCs w:val="28"/>
              </w:rPr>
              <w:t>减</w:t>
            </w:r>
          </w:p>
        </w:tc>
        <w:tc>
          <w:tcPr>
            <w:tcW w:w="2295"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8"/>
                <w:szCs w:val="28"/>
              </w:rPr>
              <w:t>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16" w:hRule="atLeast"/>
        </w:trPr>
        <w:tc>
          <w:tcPr>
            <w:tcW w:w="1704"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8"/>
                <w:szCs w:val="28"/>
              </w:rPr>
              <w:t>行政处罚</w:t>
            </w:r>
          </w:p>
        </w:tc>
        <w:tc>
          <w:tcPr>
            <w:tcW w:w="2460"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rPr>
                <w:rFonts w:hint="default" w:ascii="Calibri" w:hAnsi="Calibri" w:cs="Calibri" w:eastAsiaTheme="minorEastAsia"/>
                <w:sz w:val="21"/>
                <w:szCs w:val="21"/>
                <w:lang w:val="en-US" w:eastAsia="zh-CN"/>
              </w:rPr>
            </w:pPr>
            <w:r>
              <w:rPr>
                <w:rFonts w:hint="eastAsia" w:ascii="Times New Roman" w:hAnsi="Times New Roman" w:eastAsia="宋体" w:cs="Times New Roman"/>
                <w:i w:val="0"/>
                <w:caps w:val="0"/>
                <w:color w:val="000000"/>
                <w:spacing w:val="0"/>
                <w:sz w:val="28"/>
                <w:szCs w:val="28"/>
                <w:lang w:val="en-US" w:eastAsia="zh-CN"/>
              </w:rPr>
              <w:t>28</w:t>
            </w:r>
          </w:p>
        </w:tc>
        <w:tc>
          <w:tcPr>
            <w:tcW w:w="2025"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rPr>
                <w:rFonts w:hint="default" w:ascii="Calibri" w:hAnsi="Calibri" w:cs="Calibri" w:eastAsiaTheme="minorEastAsia"/>
                <w:sz w:val="21"/>
                <w:szCs w:val="21"/>
                <w:lang w:val="en-US" w:eastAsia="zh-CN"/>
              </w:rPr>
            </w:pPr>
            <w:r>
              <w:rPr>
                <w:rFonts w:hint="eastAsia" w:ascii="Calibri" w:hAnsi="Calibri" w:cs="Calibri"/>
                <w:sz w:val="21"/>
                <w:szCs w:val="21"/>
                <w:lang w:val="en-US" w:eastAsia="zh-CN"/>
              </w:rPr>
              <w:t>+7</w:t>
            </w:r>
          </w:p>
        </w:tc>
        <w:tc>
          <w:tcPr>
            <w:tcW w:w="2295"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rPr>
                <w:rFonts w:hint="default" w:ascii="Calibri" w:hAnsi="Calibri" w:cs="Calibri" w:eastAsiaTheme="minorEastAsia"/>
                <w:sz w:val="21"/>
                <w:szCs w:val="21"/>
                <w:lang w:val="en-US" w:eastAsia="zh-CN"/>
              </w:rPr>
            </w:pPr>
            <w:r>
              <w:rPr>
                <w:rFonts w:hint="eastAsia" w:ascii="Calibri" w:hAnsi="Calibri" w:cs="Calibri"/>
                <w:sz w:val="21"/>
                <w:szCs w:val="21"/>
                <w:lang w:val="en-US" w:eastAsia="zh-CN"/>
              </w:rPr>
              <w:t>35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58" w:hRule="atLeast"/>
        </w:trPr>
        <w:tc>
          <w:tcPr>
            <w:tcW w:w="1704"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8"/>
                <w:szCs w:val="28"/>
              </w:rPr>
              <w:t>行政强制</w:t>
            </w:r>
          </w:p>
        </w:tc>
        <w:tc>
          <w:tcPr>
            <w:tcW w:w="2460"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rPr>
                <w:rFonts w:hint="eastAsia" w:ascii="Calibri" w:hAnsi="Calibri" w:cs="Calibri" w:eastAsiaTheme="minorEastAsia"/>
                <w:sz w:val="21"/>
                <w:szCs w:val="21"/>
                <w:lang w:val="en-US" w:eastAsia="zh-CN"/>
              </w:rPr>
            </w:pPr>
            <w:r>
              <w:rPr>
                <w:rFonts w:hint="eastAsia" w:ascii="Calibri" w:hAnsi="Calibri" w:cs="Calibri"/>
                <w:sz w:val="21"/>
                <w:szCs w:val="21"/>
                <w:lang w:val="en-US" w:eastAsia="zh-CN"/>
              </w:rPr>
              <w:t>0</w:t>
            </w:r>
          </w:p>
        </w:tc>
        <w:tc>
          <w:tcPr>
            <w:tcW w:w="2025"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rPr>
                <w:rFonts w:hint="eastAsia" w:ascii="Calibri" w:hAnsi="Calibri" w:cs="Calibri" w:eastAsiaTheme="minorEastAsia"/>
                <w:sz w:val="21"/>
                <w:szCs w:val="21"/>
                <w:lang w:val="en-US" w:eastAsia="zh-CN"/>
              </w:rPr>
            </w:pPr>
            <w:r>
              <w:rPr>
                <w:rFonts w:hint="eastAsia" w:ascii="Calibri" w:hAnsi="Calibri" w:cs="Calibri"/>
                <w:sz w:val="21"/>
                <w:szCs w:val="21"/>
                <w:lang w:val="en-US" w:eastAsia="zh-CN"/>
              </w:rPr>
              <w:t>0</w:t>
            </w:r>
          </w:p>
        </w:tc>
        <w:tc>
          <w:tcPr>
            <w:tcW w:w="2295"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rPr>
                <w:rFonts w:hint="default" w:ascii="Calibri" w:hAnsi="Calibri" w:cs="Calibri" w:eastAsiaTheme="minorEastAsia"/>
                <w:sz w:val="21"/>
                <w:szCs w:val="21"/>
                <w:lang w:val="en-US" w:eastAsia="zh-CN"/>
              </w:rPr>
            </w:pPr>
            <w:r>
              <w:rPr>
                <w:rFonts w:hint="eastAsia" w:ascii="Calibri" w:hAnsi="Calibri" w:cs="Calibri"/>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8484" w:type="dxa"/>
            <w:gridSpan w:val="4"/>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8"/>
                <w:szCs w:val="28"/>
              </w:rPr>
              <w:t>第二十条第（八）项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94" w:hRule="atLeast"/>
        </w:trPr>
        <w:tc>
          <w:tcPr>
            <w:tcW w:w="1704"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8"/>
                <w:szCs w:val="28"/>
              </w:rPr>
              <w:t>信息内容</w:t>
            </w:r>
          </w:p>
        </w:tc>
        <w:tc>
          <w:tcPr>
            <w:tcW w:w="2460"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8"/>
                <w:szCs w:val="28"/>
              </w:rPr>
              <w:t>上一年项目数量</w:t>
            </w:r>
          </w:p>
        </w:tc>
        <w:tc>
          <w:tcPr>
            <w:tcW w:w="4320" w:type="dxa"/>
            <w:gridSpan w:val="2"/>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8"/>
                <w:szCs w:val="28"/>
              </w:rPr>
              <w:t>本年增</w:t>
            </w:r>
            <w:r>
              <w:rPr>
                <w:rFonts w:hint="default" w:ascii="Times New Roman" w:hAnsi="Times New Roman" w:eastAsia="SourceHanSansCN-Regular" w:cs="Times New Roman"/>
                <w:i w:val="0"/>
                <w:caps w:val="0"/>
                <w:color w:val="000000"/>
                <w:spacing w:val="0"/>
                <w:sz w:val="28"/>
                <w:szCs w:val="28"/>
              </w:rPr>
              <w:t>/</w:t>
            </w:r>
            <w:r>
              <w:rPr>
                <w:rFonts w:hint="eastAsia" w:ascii="宋体" w:hAnsi="宋体" w:eastAsia="宋体" w:cs="宋体"/>
                <w:i w:val="0"/>
                <w:caps w:val="0"/>
                <w:color w:val="000000"/>
                <w:spacing w:val="0"/>
                <w:sz w:val="28"/>
                <w:szCs w:val="28"/>
              </w:rPr>
              <w:t>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704"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8"/>
                <w:szCs w:val="28"/>
              </w:rPr>
              <w:t>行政事业性收费</w:t>
            </w:r>
          </w:p>
        </w:tc>
        <w:tc>
          <w:tcPr>
            <w:tcW w:w="2460"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rPr>
                <w:rFonts w:hint="eastAsia" w:ascii="Calibri" w:hAnsi="Calibri" w:cs="Calibri" w:eastAsiaTheme="minorEastAsia"/>
                <w:sz w:val="21"/>
                <w:szCs w:val="21"/>
                <w:lang w:eastAsia="zh-CN"/>
              </w:rPr>
            </w:pPr>
            <w:r>
              <w:rPr>
                <w:rFonts w:hint="eastAsia" w:ascii="Times New Roman" w:hAnsi="Times New Roman" w:eastAsia="宋体" w:cs="Times New Roman"/>
                <w:i w:val="0"/>
                <w:caps w:val="0"/>
                <w:color w:val="000000"/>
                <w:spacing w:val="0"/>
                <w:sz w:val="28"/>
                <w:szCs w:val="28"/>
                <w:lang w:val="en-US" w:eastAsia="zh-CN"/>
              </w:rPr>
              <w:t>0</w:t>
            </w:r>
          </w:p>
        </w:tc>
        <w:tc>
          <w:tcPr>
            <w:tcW w:w="4320" w:type="dxa"/>
            <w:gridSpan w:val="2"/>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rPr>
                <w:rFonts w:hint="eastAsia" w:ascii="Calibri" w:hAnsi="Calibri" w:cs="Calibri" w:eastAsiaTheme="minorEastAsia"/>
                <w:sz w:val="21"/>
                <w:szCs w:val="21"/>
                <w:lang w:eastAsia="zh-CN"/>
              </w:rPr>
            </w:pPr>
            <w:r>
              <w:rPr>
                <w:rFonts w:hint="eastAsia" w:ascii="宋体" w:hAnsi="宋体" w:eastAsia="宋体" w:cs="宋体"/>
                <w:i w:val="0"/>
                <w:caps w:val="0"/>
                <w:color w:val="000000"/>
                <w:spacing w:val="0"/>
                <w:sz w:val="28"/>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8484" w:type="dxa"/>
            <w:gridSpan w:val="4"/>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8"/>
                <w:szCs w:val="28"/>
              </w:rPr>
              <w:t>第二十条第（九）项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63" w:hRule="atLeast"/>
        </w:trPr>
        <w:tc>
          <w:tcPr>
            <w:tcW w:w="1704"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8"/>
                <w:szCs w:val="28"/>
              </w:rPr>
              <w:t>信息内容</w:t>
            </w:r>
          </w:p>
        </w:tc>
        <w:tc>
          <w:tcPr>
            <w:tcW w:w="2460"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8"/>
                <w:szCs w:val="28"/>
              </w:rPr>
              <w:t>采购项目数量</w:t>
            </w:r>
          </w:p>
        </w:tc>
        <w:tc>
          <w:tcPr>
            <w:tcW w:w="4320" w:type="dxa"/>
            <w:gridSpan w:val="2"/>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8"/>
                <w:szCs w:val="28"/>
              </w:rPr>
              <w:t>采购总金额（万）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704"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8"/>
                <w:szCs w:val="28"/>
              </w:rPr>
              <w:t>政府集中采购</w:t>
            </w:r>
          </w:p>
        </w:tc>
        <w:tc>
          <w:tcPr>
            <w:tcW w:w="2460"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rPr>
                <w:rFonts w:hint="eastAsia" w:ascii="Calibri" w:hAnsi="Calibri" w:cs="Calibri" w:eastAsiaTheme="minorEastAsia"/>
                <w:sz w:val="21"/>
                <w:szCs w:val="21"/>
                <w:lang w:eastAsia="zh-CN"/>
              </w:rPr>
            </w:pPr>
            <w:r>
              <w:rPr>
                <w:rFonts w:hint="eastAsia" w:ascii="Times New Roman" w:hAnsi="Times New Roman" w:eastAsia="宋体" w:cs="Times New Roman"/>
                <w:i w:val="0"/>
                <w:caps w:val="0"/>
                <w:color w:val="000000"/>
                <w:spacing w:val="0"/>
                <w:sz w:val="28"/>
                <w:szCs w:val="28"/>
                <w:lang w:val="en-US" w:eastAsia="zh-CN"/>
              </w:rPr>
              <w:t>0</w:t>
            </w:r>
          </w:p>
        </w:tc>
        <w:tc>
          <w:tcPr>
            <w:tcW w:w="4320" w:type="dxa"/>
            <w:gridSpan w:val="2"/>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rPr>
                <w:rFonts w:hint="eastAsia" w:ascii="Calibri" w:hAnsi="Calibri" w:cs="Calibri" w:eastAsiaTheme="minorEastAsia"/>
                <w:sz w:val="21"/>
                <w:szCs w:val="21"/>
                <w:lang w:eastAsia="zh-CN"/>
              </w:rPr>
            </w:pPr>
            <w:r>
              <w:rPr>
                <w:rFonts w:hint="eastAsia" w:ascii="Times New Roman" w:hAnsi="Times New Roman" w:eastAsia="宋体" w:cs="Times New Roman"/>
                <w:i w:val="0"/>
                <w:caps w:val="0"/>
                <w:color w:val="000000"/>
                <w:spacing w:val="0"/>
                <w:sz w:val="28"/>
                <w:szCs w:val="28"/>
                <w:lang w:val="en-US" w:eastAsia="zh-CN"/>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640" w:firstLineChars="200"/>
        <w:jc w:val="both"/>
        <w:rPr>
          <w:rFonts w:hint="default" w:ascii="Calibri" w:hAnsi="Calibri" w:cs="Calibri"/>
          <w:i w:val="0"/>
          <w:caps w:val="0"/>
          <w:color w:val="333333"/>
          <w:spacing w:val="0"/>
          <w:sz w:val="21"/>
          <w:szCs w:val="21"/>
        </w:rPr>
      </w:pPr>
      <w:r>
        <w:rPr>
          <w:rFonts w:hint="eastAsia" w:ascii="黑体" w:hAnsi="宋体" w:eastAsia="黑体" w:cs="黑体"/>
          <w:i w:val="0"/>
          <w:caps w:val="0"/>
          <w:color w:val="000000"/>
          <w:spacing w:val="0"/>
          <w:sz w:val="32"/>
          <w:szCs w:val="32"/>
          <w:shd w:val="clear" w:fill="FFFFFF"/>
        </w:rPr>
        <w:t>三、收到和处理政府信息公开申请情况</w:t>
      </w:r>
    </w:p>
    <w:tbl>
      <w:tblPr>
        <w:tblStyle w:val="4"/>
        <w:tblW w:w="940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96"/>
        <w:gridCol w:w="719"/>
        <w:gridCol w:w="2824"/>
        <w:gridCol w:w="592"/>
        <w:gridCol w:w="752"/>
        <w:gridCol w:w="752"/>
        <w:gridCol w:w="810"/>
        <w:gridCol w:w="826"/>
        <w:gridCol w:w="717"/>
        <w:gridCol w:w="71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16"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（本列数据的勾稽关系为：第一项加第二项之和，等于第三项加第四项之和）</w:t>
            </w:r>
          </w:p>
        </w:tc>
        <w:tc>
          <w:tcPr>
            <w:tcW w:w="5192"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16"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59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自然人</w:t>
            </w:r>
          </w:p>
        </w:tc>
        <w:tc>
          <w:tcPr>
            <w:tcW w:w="3878"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法人或其他组织</w:t>
            </w:r>
          </w:p>
        </w:tc>
        <w:tc>
          <w:tcPr>
            <w:tcW w:w="720"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65" w:hRule="atLeast"/>
          <w:jc w:val="center"/>
        </w:trPr>
        <w:tc>
          <w:tcPr>
            <w:tcW w:w="4216"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59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商业企业</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科研机构</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社会公益组织</w:t>
            </w:r>
          </w:p>
        </w:tc>
        <w:tc>
          <w:tcPr>
            <w:tcW w:w="83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法律服务机构</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其他</w:t>
            </w:r>
          </w:p>
        </w:tc>
        <w:tc>
          <w:tcPr>
            <w:tcW w:w="72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16"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Calibri" w:hAnsi="Calibri" w:cs="Calibri"/>
                <w:sz w:val="21"/>
                <w:szCs w:val="21"/>
              </w:rPr>
            </w:pPr>
            <w:r>
              <w:rPr>
                <w:rFonts w:hint="eastAsia" w:ascii="仿宋" w:hAnsi="仿宋" w:eastAsia="仿宋" w:cs="仿宋"/>
                <w:color w:val="000000"/>
                <w:sz w:val="24"/>
                <w:szCs w:val="24"/>
              </w:rPr>
              <w:t>一、本年新收政府信息公开申请数量</w:t>
            </w:r>
          </w:p>
        </w:tc>
        <w:tc>
          <w:tcPr>
            <w:tcW w:w="59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Calibri" w:hAnsi="Calibri" w:cs="Calibri" w:eastAsiaTheme="minorEastAsia"/>
                <w:sz w:val="21"/>
                <w:szCs w:val="21"/>
                <w:lang w:eastAsia="zh-CN"/>
              </w:rPr>
            </w:pPr>
            <w:r>
              <w:rPr>
                <w:rFonts w:hint="eastAsia" w:ascii="Times New Roman" w:hAnsi="Times New Roman" w:cs="Times New Roman"/>
                <w:color w:val="000000"/>
                <w:sz w:val="24"/>
                <w:szCs w:val="24"/>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83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Calibri" w:hAnsi="Calibri" w:cs="Calibri" w:eastAsiaTheme="minorEastAsia"/>
                <w:sz w:val="21"/>
                <w:szCs w:val="21"/>
                <w:lang w:eastAsia="zh-CN"/>
              </w:rPr>
            </w:pPr>
            <w:r>
              <w:rPr>
                <w:rFonts w:hint="eastAsia" w:ascii="Times New Roman" w:hAnsi="Times New Roman" w:cs="Times New Roman"/>
                <w:color w:val="000000"/>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16"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Calibri" w:hAnsi="Calibri" w:cs="Calibri"/>
                <w:sz w:val="21"/>
                <w:szCs w:val="21"/>
              </w:rPr>
            </w:pPr>
            <w:r>
              <w:rPr>
                <w:rFonts w:hint="eastAsia" w:ascii="仿宋" w:hAnsi="仿宋" w:eastAsia="仿宋" w:cs="仿宋"/>
                <w:color w:val="000000"/>
                <w:sz w:val="24"/>
                <w:szCs w:val="24"/>
              </w:rPr>
              <w:t>二、上年结转政府信息公开申请数量</w:t>
            </w:r>
          </w:p>
        </w:tc>
        <w:tc>
          <w:tcPr>
            <w:tcW w:w="59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83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79" w:hRule="atLeast"/>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三、本年度办理结果</w:t>
            </w:r>
          </w:p>
        </w:tc>
        <w:tc>
          <w:tcPr>
            <w:tcW w:w="3574"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（一）予以公开</w:t>
            </w:r>
          </w:p>
        </w:tc>
        <w:tc>
          <w:tcPr>
            <w:tcW w:w="59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Calibri" w:hAnsi="Calibri" w:cs="Calibri" w:eastAsiaTheme="minorEastAsia"/>
                <w:sz w:val="21"/>
                <w:szCs w:val="21"/>
                <w:lang w:eastAsia="zh-CN"/>
              </w:rPr>
            </w:pPr>
            <w:r>
              <w:rPr>
                <w:rFonts w:hint="eastAsia" w:ascii="Times New Roman" w:hAnsi="Times New Roman" w:cs="Times New Roman"/>
                <w:color w:val="000000"/>
                <w:sz w:val="24"/>
                <w:szCs w:val="24"/>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83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Calibri" w:hAnsi="Calibri" w:cs="Calibri" w:eastAsiaTheme="minorEastAsia"/>
                <w:sz w:val="21"/>
                <w:szCs w:val="21"/>
                <w:lang w:eastAsia="zh-CN"/>
              </w:rPr>
            </w:pPr>
            <w:r>
              <w:rPr>
                <w:rFonts w:hint="eastAsia" w:ascii="Times New Roman" w:hAnsi="Times New Roman" w:cs="Times New Roman"/>
                <w:color w:val="000000"/>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3574"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（二）部分公开（区分处理的，只计这一情形，不计其他情形）</w:t>
            </w:r>
          </w:p>
        </w:tc>
        <w:tc>
          <w:tcPr>
            <w:tcW w:w="59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83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20"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w:t>
            </w:r>
            <w:r>
              <w:rPr>
                <w:rFonts w:hint="eastAsia" w:ascii="仿宋" w:hAnsi="仿宋" w:eastAsia="仿宋" w:cs="仿宋"/>
                <w:color w:val="000000"/>
                <w:sz w:val="24"/>
                <w:szCs w:val="24"/>
              </w:rPr>
              <w:t>三</w:t>
            </w:r>
            <w:r>
              <w:rPr>
                <w:rFonts w:hint="default" w:ascii="Times New Roman" w:hAnsi="Times New Roman" w:cs="Times New Roman"/>
                <w:color w:val="000000"/>
                <w:sz w:val="24"/>
                <w:szCs w:val="24"/>
              </w:rPr>
              <w:t>)</w:t>
            </w:r>
            <w:r>
              <w:rPr>
                <w:rFonts w:hint="eastAsia" w:ascii="仿宋" w:hAnsi="仿宋" w:eastAsia="仿宋" w:cs="仿宋"/>
                <w:color w:val="000000"/>
                <w:sz w:val="24"/>
                <w:szCs w:val="24"/>
              </w:rPr>
              <w:t>不予公开</w:t>
            </w:r>
          </w:p>
        </w:tc>
        <w:tc>
          <w:tcPr>
            <w:tcW w:w="285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Times New Roman" w:hAnsi="Times New Roman" w:cs="Times New Roman"/>
                <w:color w:val="000000"/>
                <w:sz w:val="24"/>
                <w:szCs w:val="24"/>
              </w:rPr>
              <w:t>1.</w:t>
            </w:r>
            <w:r>
              <w:rPr>
                <w:rFonts w:hint="eastAsia" w:ascii="仿宋" w:hAnsi="仿宋" w:eastAsia="仿宋" w:cs="仿宋"/>
                <w:color w:val="000000"/>
                <w:sz w:val="24"/>
                <w:szCs w:val="24"/>
              </w:rPr>
              <w:t>属于国家秘密</w:t>
            </w:r>
          </w:p>
        </w:tc>
        <w:tc>
          <w:tcPr>
            <w:tcW w:w="59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83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2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85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both"/>
              <w:rPr>
                <w:rFonts w:hint="default" w:ascii="Calibri" w:hAnsi="Calibri" w:cs="Calibri"/>
                <w:sz w:val="21"/>
                <w:szCs w:val="21"/>
              </w:rPr>
            </w:pPr>
            <w:r>
              <w:rPr>
                <w:rFonts w:hint="default" w:ascii="Times New Roman" w:hAnsi="Times New Roman" w:cs="Times New Roman"/>
                <w:color w:val="000000"/>
                <w:sz w:val="24"/>
                <w:szCs w:val="24"/>
              </w:rPr>
              <w:t>2.</w:t>
            </w:r>
            <w:r>
              <w:rPr>
                <w:rFonts w:hint="eastAsia" w:ascii="仿宋" w:hAnsi="仿宋" w:eastAsia="仿宋" w:cs="仿宋"/>
                <w:color w:val="000000"/>
                <w:sz w:val="24"/>
                <w:szCs w:val="24"/>
              </w:rPr>
              <w:t>其他法律行政法规禁止公开</w:t>
            </w:r>
          </w:p>
        </w:tc>
        <w:tc>
          <w:tcPr>
            <w:tcW w:w="59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83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2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85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Times New Roman" w:hAnsi="Times New Roman" w:cs="Times New Roman"/>
                <w:color w:val="000000"/>
                <w:sz w:val="24"/>
                <w:szCs w:val="24"/>
              </w:rPr>
              <w:t>3.</w:t>
            </w:r>
            <w:r>
              <w:rPr>
                <w:rFonts w:hint="eastAsia" w:ascii="仿宋" w:hAnsi="仿宋" w:eastAsia="仿宋" w:cs="仿宋"/>
                <w:color w:val="000000"/>
                <w:sz w:val="24"/>
                <w:szCs w:val="24"/>
              </w:rPr>
              <w:t>危及</w:t>
            </w:r>
            <w:r>
              <w:rPr>
                <w:rFonts w:hint="default" w:ascii="Times New Roman" w:hAnsi="Times New Roman" w:cs="Times New Roman"/>
                <w:color w:val="000000"/>
                <w:sz w:val="24"/>
                <w:szCs w:val="24"/>
              </w:rPr>
              <w:t>“</w:t>
            </w:r>
            <w:r>
              <w:rPr>
                <w:rFonts w:hint="eastAsia" w:ascii="仿宋" w:hAnsi="仿宋" w:eastAsia="仿宋" w:cs="仿宋"/>
                <w:color w:val="000000"/>
                <w:sz w:val="24"/>
                <w:szCs w:val="24"/>
              </w:rPr>
              <w:t>三安全一稳定</w:t>
            </w:r>
            <w:r>
              <w:rPr>
                <w:rFonts w:hint="default" w:ascii="Times New Roman" w:hAnsi="Times New Roman" w:cs="Times New Roman"/>
                <w:color w:val="000000"/>
                <w:sz w:val="24"/>
                <w:szCs w:val="24"/>
              </w:rPr>
              <w:t>”</w:t>
            </w:r>
          </w:p>
        </w:tc>
        <w:tc>
          <w:tcPr>
            <w:tcW w:w="59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83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2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85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Times New Roman" w:hAnsi="Times New Roman" w:cs="Times New Roman"/>
                <w:color w:val="000000"/>
                <w:sz w:val="24"/>
                <w:szCs w:val="24"/>
              </w:rPr>
              <w:t>4.</w:t>
            </w:r>
            <w:r>
              <w:rPr>
                <w:rFonts w:hint="eastAsia" w:ascii="仿宋" w:hAnsi="仿宋" w:eastAsia="仿宋" w:cs="仿宋"/>
                <w:color w:val="000000"/>
                <w:sz w:val="24"/>
                <w:szCs w:val="24"/>
              </w:rPr>
              <w:t>保护第三方合法权益</w:t>
            </w:r>
          </w:p>
        </w:tc>
        <w:tc>
          <w:tcPr>
            <w:tcW w:w="59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83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2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85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Times New Roman" w:hAnsi="Times New Roman" w:cs="Times New Roman"/>
                <w:color w:val="000000"/>
                <w:sz w:val="24"/>
                <w:szCs w:val="24"/>
              </w:rPr>
              <w:t>5.</w:t>
            </w:r>
            <w:r>
              <w:rPr>
                <w:rFonts w:hint="eastAsia" w:ascii="仿宋" w:hAnsi="仿宋" w:eastAsia="仿宋" w:cs="仿宋"/>
                <w:color w:val="000000"/>
                <w:sz w:val="24"/>
                <w:szCs w:val="24"/>
              </w:rPr>
              <w:t>属于三类内部事务信息</w:t>
            </w:r>
          </w:p>
        </w:tc>
        <w:tc>
          <w:tcPr>
            <w:tcW w:w="59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83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2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85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Times New Roman" w:hAnsi="Times New Roman" w:cs="Times New Roman"/>
                <w:color w:val="000000"/>
                <w:sz w:val="24"/>
                <w:szCs w:val="24"/>
              </w:rPr>
              <w:t>6.</w:t>
            </w:r>
            <w:r>
              <w:rPr>
                <w:rFonts w:hint="eastAsia" w:ascii="仿宋" w:hAnsi="仿宋" w:eastAsia="仿宋" w:cs="仿宋"/>
                <w:color w:val="000000"/>
                <w:sz w:val="24"/>
                <w:szCs w:val="24"/>
              </w:rPr>
              <w:t>属于四类过程性信息</w:t>
            </w:r>
          </w:p>
        </w:tc>
        <w:tc>
          <w:tcPr>
            <w:tcW w:w="59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83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2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85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Times New Roman" w:hAnsi="Times New Roman" w:cs="Times New Roman"/>
                <w:color w:val="000000"/>
                <w:sz w:val="24"/>
                <w:szCs w:val="24"/>
              </w:rPr>
              <w:t>7.</w:t>
            </w:r>
            <w:r>
              <w:rPr>
                <w:rFonts w:hint="eastAsia" w:ascii="仿宋" w:hAnsi="仿宋" w:eastAsia="仿宋" w:cs="仿宋"/>
                <w:color w:val="000000"/>
                <w:sz w:val="24"/>
                <w:szCs w:val="24"/>
              </w:rPr>
              <w:t>属于行政执法案卷</w:t>
            </w:r>
          </w:p>
        </w:tc>
        <w:tc>
          <w:tcPr>
            <w:tcW w:w="59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83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2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85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Times New Roman" w:hAnsi="Times New Roman" w:cs="Times New Roman"/>
                <w:color w:val="000000"/>
                <w:sz w:val="24"/>
                <w:szCs w:val="24"/>
              </w:rPr>
              <w:t>8.</w:t>
            </w:r>
            <w:r>
              <w:rPr>
                <w:rFonts w:hint="eastAsia" w:ascii="仿宋" w:hAnsi="仿宋" w:eastAsia="仿宋" w:cs="仿宋"/>
                <w:color w:val="000000"/>
                <w:sz w:val="24"/>
                <w:szCs w:val="24"/>
              </w:rPr>
              <w:t>属于行政查询事项</w:t>
            </w:r>
          </w:p>
        </w:tc>
        <w:tc>
          <w:tcPr>
            <w:tcW w:w="59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83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20"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w:t>
            </w:r>
            <w:r>
              <w:rPr>
                <w:rFonts w:hint="eastAsia" w:ascii="仿宋" w:hAnsi="仿宋" w:eastAsia="仿宋" w:cs="仿宋"/>
                <w:color w:val="000000"/>
                <w:sz w:val="24"/>
                <w:szCs w:val="24"/>
              </w:rPr>
              <w:t>四</w:t>
            </w:r>
            <w:r>
              <w:rPr>
                <w:rFonts w:hint="default" w:ascii="Times New Roman" w:hAnsi="Times New Roman" w:cs="Times New Roman"/>
                <w:color w:val="000000"/>
                <w:sz w:val="24"/>
                <w:szCs w:val="24"/>
              </w:rPr>
              <w:t>)</w:t>
            </w:r>
            <w:r>
              <w:rPr>
                <w:rFonts w:hint="eastAsia" w:ascii="仿宋" w:hAnsi="仿宋" w:eastAsia="仿宋" w:cs="仿宋"/>
                <w:color w:val="000000"/>
                <w:sz w:val="24"/>
                <w:szCs w:val="24"/>
              </w:rPr>
              <w:t>无法提供</w:t>
            </w:r>
          </w:p>
        </w:tc>
        <w:tc>
          <w:tcPr>
            <w:tcW w:w="285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both"/>
              <w:rPr>
                <w:rFonts w:hint="default" w:ascii="Calibri" w:hAnsi="Calibri" w:cs="Calibri"/>
                <w:sz w:val="21"/>
                <w:szCs w:val="21"/>
              </w:rPr>
            </w:pPr>
            <w:r>
              <w:rPr>
                <w:rFonts w:hint="default" w:ascii="Times New Roman" w:hAnsi="Times New Roman" w:cs="Times New Roman"/>
                <w:color w:val="000000"/>
                <w:sz w:val="24"/>
                <w:szCs w:val="24"/>
              </w:rPr>
              <w:t>1.</w:t>
            </w:r>
            <w:r>
              <w:rPr>
                <w:rFonts w:hint="eastAsia" w:ascii="仿宋" w:hAnsi="仿宋" w:eastAsia="仿宋" w:cs="仿宋"/>
                <w:color w:val="000000"/>
                <w:sz w:val="24"/>
                <w:szCs w:val="24"/>
              </w:rPr>
              <w:t>本机关不掌握相关政府信息</w:t>
            </w:r>
          </w:p>
        </w:tc>
        <w:tc>
          <w:tcPr>
            <w:tcW w:w="59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83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2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85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both"/>
              <w:rPr>
                <w:rFonts w:hint="default" w:ascii="Calibri" w:hAnsi="Calibri" w:cs="Calibri"/>
                <w:sz w:val="21"/>
                <w:szCs w:val="21"/>
              </w:rPr>
            </w:pPr>
            <w:r>
              <w:rPr>
                <w:rFonts w:hint="default" w:ascii="Times New Roman" w:hAnsi="Times New Roman" w:cs="Times New Roman"/>
                <w:color w:val="000000"/>
                <w:sz w:val="24"/>
                <w:szCs w:val="24"/>
              </w:rPr>
              <w:t>2.</w:t>
            </w:r>
            <w:r>
              <w:rPr>
                <w:rFonts w:hint="eastAsia" w:ascii="仿宋" w:hAnsi="仿宋" w:eastAsia="仿宋" w:cs="仿宋"/>
                <w:color w:val="000000"/>
                <w:sz w:val="24"/>
                <w:szCs w:val="24"/>
              </w:rPr>
              <w:t>没有现成信息需要另行制作</w:t>
            </w:r>
          </w:p>
        </w:tc>
        <w:tc>
          <w:tcPr>
            <w:tcW w:w="59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83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2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85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Times New Roman" w:hAnsi="Times New Roman" w:cs="Times New Roman"/>
                <w:color w:val="000000"/>
                <w:sz w:val="24"/>
                <w:szCs w:val="24"/>
              </w:rPr>
              <w:t>3.</w:t>
            </w:r>
            <w:r>
              <w:rPr>
                <w:rFonts w:hint="eastAsia" w:ascii="仿宋" w:hAnsi="仿宋" w:eastAsia="仿宋" w:cs="仿宋"/>
                <w:color w:val="000000"/>
                <w:sz w:val="24"/>
                <w:szCs w:val="24"/>
              </w:rPr>
              <w:t>补</w:t>
            </w:r>
            <w:r>
              <w:rPr>
                <w:rFonts w:hint="eastAsia" w:ascii="仿宋" w:hAnsi="仿宋" w:eastAsia="仿宋" w:cs="仿宋"/>
                <w:color w:val="000000"/>
                <w:spacing w:val="-10"/>
                <w:sz w:val="24"/>
                <w:szCs w:val="24"/>
              </w:rPr>
              <w:t>正后申请内容仍不明确</w:t>
            </w:r>
          </w:p>
        </w:tc>
        <w:tc>
          <w:tcPr>
            <w:tcW w:w="59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83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20"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w:t>
            </w:r>
            <w:r>
              <w:rPr>
                <w:rFonts w:hint="eastAsia" w:ascii="仿宋" w:hAnsi="仿宋" w:eastAsia="仿宋" w:cs="仿宋"/>
                <w:color w:val="000000"/>
                <w:sz w:val="24"/>
                <w:szCs w:val="24"/>
              </w:rPr>
              <w:t>五</w:t>
            </w:r>
            <w:r>
              <w:rPr>
                <w:rFonts w:hint="default" w:ascii="Times New Roman" w:hAnsi="Times New Roman" w:cs="Times New Roman"/>
                <w:color w:val="000000"/>
                <w:sz w:val="24"/>
                <w:szCs w:val="24"/>
              </w:rPr>
              <w:t>)</w:t>
            </w:r>
            <w:r>
              <w:rPr>
                <w:rFonts w:hint="eastAsia" w:ascii="仿宋" w:hAnsi="仿宋" w:eastAsia="仿宋" w:cs="仿宋"/>
                <w:color w:val="000000"/>
                <w:sz w:val="24"/>
                <w:szCs w:val="24"/>
              </w:rPr>
              <w:t>不予处理</w:t>
            </w:r>
          </w:p>
        </w:tc>
        <w:tc>
          <w:tcPr>
            <w:tcW w:w="285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Times New Roman" w:hAnsi="Times New Roman" w:cs="Times New Roman"/>
                <w:color w:val="000000"/>
                <w:sz w:val="24"/>
                <w:szCs w:val="24"/>
              </w:rPr>
              <w:t>1.</w:t>
            </w:r>
            <w:r>
              <w:rPr>
                <w:rFonts w:hint="eastAsia" w:ascii="仿宋" w:hAnsi="仿宋" w:eastAsia="仿宋" w:cs="仿宋"/>
                <w:color w:val="000000"/>
                <w:sz w:val="24"/>
                <w:szCs w:val="24"/>
              </w:rPr>
              <w:t>信访举报投诉类申请</w:t>
            </w:r>
          </w:p>
        </w:tc>
        <w:tc>
          <w:tcPr>
            <w:tcW w:w="59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83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2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85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Times New Roman" w:hAnsi="Times New Roman" w:cs="Times New Roman"/>
                <w:color w:val="000000"/>
                <w:sz w:val="24"/>
                <w:szCs w:val="24"/>
              </w:rPr>
              <w:t>2.</w:t>
            </w:r>
            <w:r>
              <w:rPr>
                <w:rFonts w:hint="eastAsia" w:ascii="仿宋" w:hAnsi="仿宋" w:eastAsia="仿宋" w:cs="仿宋"/>
                <w:color w:val="000000"/>
                <w:sz w:val="24"/>
                <w:szCs w:val="24"/>
              </w:rPr>
              <w:t>重复申请</w:t>
            </w:r>
          </w:p>
        </w:tc>
        <w:tc>
          <w:tcPr>
            <w:tcW w:w="59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83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2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85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Times New Roman" w:hAnsi="Times New Roman" w:cs="Times New Roman"/>
                <w:color w:val="000000"/>
                <w:sz w:val="24"/>
                <w:szCs w:val="24"/>
              </w:rPr>
              <w:t>3.</w:t>
            </w:r>
            <w:r>
              <w:rPr>
                <w:rFonts w:hint="eastAsia" w:ascii="仿宋" w:hAnsi="仿宋" w:eastAsia="仿宋" w:cs="仿宋"/>
                <w:color w:val="000000"/>
                <w:sz w:val="24"/>
                <w:szCs w:val="24"/>
              </w:rPr>
              <w:t>要求提供公开出版物</w:t>
            </w:r>
          </w:p>
        </w:tc>
        <w:tc>
          <w:tcPr>
            <w:tcW w:w="59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83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2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85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Times New Roman" w:hAnsi="Times New Roman" w:cs="Times New Roman"/>
                <w:color w:val="000000"/>
                <w:sz w:val="21"/>
                <w:szCs w:val="21"/>
              </w:rPr>
              <w:t>4.</w:t>
            </w:r>
            <w:r>
              <w:rPr>
                <w:rFonts w:hint="eastAsia" w:ascii="仿宋" w:hAnsi="仿宋" w:eastAsia="仿宋" w:cs="仿宋"/>
                <w:color w:val="000000"/>
                <w:sz w:val="21"/>
                <w:szCs w:val="21"/>
              </w:rPr>
              <w:t>无</w:t>
            </w:r>
            <w:r>
              <w:rPr>
                <w:rFonts w:hint="eastAsia" w:ascii="仿宋" w:hAnsi="仿宋" w:eastAsia="仿宋" w:cs="仿宋"/>
                <w:color w:val="000000"/>
                <w:spacing w:val="-10"/>
                <w:sz w:val="21"/>
                <w:szCs w:val="21"/>
              </w:rPr>
              <w:t>正当理由大量反复申请</w:t>
            </w:r>
          </w:p>
        </w:tc>
        <w:tc>
          <w:tcPr>
            <w:tcW w:w="59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83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36" w:hRule="atLeast"/>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2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85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both"/>
              <w:rPr>
                <w:rFonts w:hint="default" w:ascii="Calibri" w:hAnsi="Calibri" w:cs="Calibri"/>
                <w:sz w:val="21"/>
                <w:szCs w:val="21"/>
              </w:rPr>
            </w:pPr>
            <w:r>
              <w:rPr>
                <w:rFonts w:hint="default" w:ascii="Times New Roman" w:hAnsi="Times New Roman" w:cs="Times New Roman"/>
                <w:color w:val="000000"/>
                <w:sz w:val="24"/>
                <w:szCs w:val="24"/>
              </w:rPr>
              <w:t>5.</w:t>
            </w:r>
            <w:r>
              <w:rPr>
                <w:rFonts w:hint="eastAsia" w:ascii="仿宋" w:hAnsi="仿宋" w:eastAsia="仿宋" w:cs="仿宋"/>
                <w:color w:val="000000"/>
                <w:sz w:val="24"/>
                <w:szCs w:val="24"/>
              </w:rPr>
              <w:t>要求行政机关确认或重新出具已获取信息</w:t>
            </w:r>
          </w:p>
        </w:tc>
        <w:tc>
          <w:tcPr>
            <w:tcW w:w="59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83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10" w:hRule="atLeast"/>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3574"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Calibri" w:hAnsi="Calibri" w:cs="Calibri"/>
                <w:sz w:val="21"/>
                <w:szCs w:val="21"/>
              </w:rPr>
            </w:pPr>
            <w:r>
              <w:rPr>
                <w:rFonts w:hint="eastAsia" w:ascii="仿宋" w:hAnsi="仿宋" w:eastAsia="仿宋" w:cs="仿宋"/>
                <w:color w:val="000000"/>
                <w:sz w:val="24"/>
                <w:szCs w:val="24"/>
              </w:rPr>
              <w:t>（六）其他处理</w:t>
            </w:r>
          </w:p>
        </w:tc>
        <w:tc>
          <w:tcPr>
            <w:tcW w:w="59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83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03" w:hRule="atLeast"/>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3574" w:type="dxa"/>
            <w:gridSpan w:val="2"/>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Calibri" w:hAnsi="Calibri" w:cs="Calibri"/>
                <w:sz w:val="21"/>
                <w:szCs w:val="21"/>
              </w:rPr>
            </w:pPr>
            <w:r>
              <w:rPr>
                <w:rFonts w:hint="eastAsia" w:ascii="仿宋" w:hAnsi="仿宋" w:eastAsia="仿宋" w:cs="仿宋"/>
                <w:color w:val="000000"/>
                <w:sz w:val="24"/>
                <w:szCs w:val="24"/>
              </w:rPr>
              <w:t>（七）总计</w:t>
            </w:r>
          </w:p>
        </w:tc>
        <w:tc>
          <w:tcPr>
            <w:tcW w:w="59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Calibri" w:hAnsi="Calibri" w:cs="Calibri" w:eastAsiaTheme="minorEastAsia"/>
                <w:sz w:val="21"/>
                <w:szCs w:val="21"/>
                <w:lang w:eastAsia="zh-CN"/>
              </w:rPr>
            </w:pPr>
            <w:r>
              <w:rPr>
                <w:rFonts w:hint="eastAsia" w:ascii="Times New Roman" w:hAnsi="Times New Roman" w:cs="Times New Roman"/>
                <w:color w:val="000000"/>
                <w:sz w:val="24"/>
                <w:szCs w:val="24"/>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83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Calibri" w:hAnsi="Calibri" w:cs="Calibri" w:eastAsiaTheme="minorEastAsia"/>
                <w:sz w:val="21"/>
                <w:szCs w:val="21"/>
                <w:lang w:eastAsia="zh-CN"/>
              </w:rPr>
            </w:pPr>
            <w:r>
              <w:rPr>
                <w:rFonts w:hint="eastAsia" w:ascii="Times New Roman" w:hAnsi="Times New Roman" w:cs="Times New Roman"/>
                <w:color w:val="000000"/>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48" w:hRule="atLeast"/>
          <w:jc w:val="center"/>
        </w:trPr>
        <w:tc>
          <w:tcPr>
            <w:tcW w:w="4216"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Calibri" w:hAnsi="Calibri" w:cs="Calibri"/>
                <w:sz w:val="21"/>
                <w:szCs w:val="21"/>
              </w:rPr>
            </w:pPr>
            <w:r>
              <w:rPr>
                <w:rFonts w:hint="eastAsia" w:ascii="仿宋" w:hAnsi="仿宋" w:eastAsia="仿宋" w:cs="仿宋"/>
                <w:color w:val="000000"/>
                <w:sz w:val="24"/>
                <w:szCs w:val="24"/>
              </w:rPr>
              <w:t>四、结转下年度继续办理</w:t>
            </w:r>
          </w:p>
        </w:tc>
        <w:tc>
          <w:tcPr>
            <w:tcW w:w="59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83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caps w:val="0"/>
          <w:color w:val="333333"/>
          <w:spacing w:val="0"/>
          <w:sz w:val="21"/>
          <w:szCs w:val="21"/>
        </w:rPr>
      </w:pPr>
      <w:r>
        <w:rPr>
          <w:rFonts w:hint="eastAsia" w:ascii="黑体" w:hAnsi="宋体" w:eastAsia="黑体" w:cs="黑体"/>
          <w:i w:val="0"/>
          <w:caps w:val="0"/>
          <w:color w:val="000000"/>
          <w:spacing w:val="0"/>
          <w:sz w:val="32"/>
          <w:szCs w:val="32"/>
          <w:shd w:val="clear" w:fill="FFFFFF"/>
        </w:rPr>
        <w:t>四、政府信息公开行政复议、行政诉讼情况</w:t>
      </w:r>
    </w:p>
    <w:tbl>
      <w:tblPr>
        <w:tblStyle w:val="4"/>
        <w:tblW w:w="907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6"/>
        <w:gridCol w:w="606"/>
        <w:gridCol w:w="607"/>
        <w:gridCol w:w="60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both"/>
              <w:rPr>
                <w:rFonts w:hint="default" w:ascii="Calibri" w:hAnsi="Calibri" w:cs="Calibri"/>
                <w:sz w:val="21"/>
                <w:szCs w:val="21"/>
              </w:rPr>
            </w:pPr>
            <w:r>
              <w:rPr>
                <w:rFonts w:hint="eastAsia" w:ascii="仿宋" w:hAnsi="仿宋" w:eastAsia="仿宋" w:cs="仿宋"/>
                <w:color w:val="000000"/>
                <w:sz w:val="24"/>
                <w:szCs w:val="24"/>
              </w:rPr>
              <w:t>结果维持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both"/>
              <w:rPr>
                <w:rFonts w:hint="default" w:ascii="Calibri" w:hAnsi="Calibri" w:cs="Calibri"/>
                <w:sz w:val="21"/>
                <w:szCs w:val="21"/>
              </w:rPr>
            </w:pPr>
            <w:r>
              <w:rPr>
                <w:rFonts w:hint="eastAsia" w:ascii="仿宋" w:hAnsi="仿宋" w:eastAsia="仿宋" w:cs="仿宋"/>
                <w:color w:val="000000"/>
                <w:sz w:val="24"/>
                <w:szCs w:val="24"/>
              </w:rPr>
              <w:t>结果纠正</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both"/>
              <w:rPr>
                <w:rFonts w:hint="default" w:ascii="Calibri" w:hAnsi="Calibri" w:cs="Calibri"/>
                <w:sz w:val="21"/>
                <w:szCs w:val="21"/>
              </w:rPr>
            </w:pPr>
            <w:r>
              <w:rPr>
                <w:rFonts w:hint="eastAsia" w:ascii="仿宋" w:hAnsi="仿宋" w:eastAsia="仿宋" w:cs="仿宋"/>
                <w:color w:val="000000"/>
                <w:sz w:val="24"/>
                <w:szCs w:val="24"/>
              </w:rPr>
              <w:t>其他结果</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both"/>
              <w:rPr>
                <w:rFonts w:hint="default" w:ascii="Calibri" w:hAnsi="Calibri" w:cs="Calibri"/>
                <w:sz w:val="21"/>
                <w:szCs w:val="21"/>
              </w:rPr>
            </w:pPr>
            <w:r>
              <w:rPr>
                <w:rFonts w:hint="eastAsia" w:ascii="仿宋" w:hAnsi="仿宋" w:eastAsia="仿宋" w:cs="仿宋"/>
                <w:color w:val="000000"/>
                <w:sz w:val="24"/>
                <w:szCs w:val="24"/>
              </w:rPr>
              <w:t>尚未审结</w:t>
            </w:r>
          </w:p>
        </w:tc>
        <w:tc>
          <w:tcPr>
            <w:tcW w:w="658"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both"/>
              <w:rPr>
                <w:rFonts w:hint="default" w:ascii="Calibri" w:hAnsi="Calibri" w:cs="Calibri"/>
                <w:sz w:val="21"/>
                <w:szCs w:val="21"/>
              </w:rPr>
            </w:pPr>
            <w:r>
              <w:rPr>
                <w:rFonts w:hint="eastAsia" w:ascii="仿宋" w:hAnsi="仿宋" w:eastAsia="仿宋" w:cs="仿宋"/>
                <w:color w:val="000000"/>
                <w:sz w:val="24"/>
                <w:szCs w:val="24"/>
              </w:rPr>
              <w:t>总计</w:t>
            </w:r>
          </w:p>
        </w:tc>
        <w:tc>
          <w:tcPr>
            <w:tcW w:w="2970"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未经复议直接起诉</w:t>
            </w:r>
          </w:p>
        </w:tc>
        <w:tc>
          <w:tcPr>
            <w:tcW w:w="3027"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5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结果纠正</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其他结果</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尚未审结</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总计</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结果纠正</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其他结果</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尚未审结</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both"/>
              <w:rPr>
                <w:rFonts w:hint="default" w:ascii="Calibri" w:hAnsi="Calibri" w:cs="Calibri"/>
                <w:sz w:val="21"/>
                <w:szCs w:val="21"/>
              </w:rPr>
            </w:pPr>
            <w:r>
              <w:rPr>
                <w:rFonts w:hint="default" w:ascii="Times New Roman" w:hAnsi="Times New Roman" w:cs="Times New Roman"/>
                <w:color w:val="000000"/>
                <w:sz w:val="24"/>
                <w:szCs w:val="24"/>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both"/>
              <w:rPr>
                <w:rFonts w:hint="default" w:ascii="Calibri" w:hAnsi="Calibri" w:cs="Calibri"/>
                <w:sz w:val="21"/>
                <w:szCs w:val="21"/>
              </w:rPr>
            </w:pPr>
            <w:r>
              <w:rPr>
                <w:rFonts w:hint="default" w:ascii="Times New Roman" w:hAnsi="Times New Roman" w:cs="Times New Roman"/>
                <w:color w:val="000000"/>
                <w:sz w:val="24"/>
                <w:szCs w:val="24"/>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both"/>
              <w:rPr>
                <w:rFonts w:hint="default" w:ascii="Calibri" w:hAnsi="Calibri" w:cs="Calibri"/>
                <w:sz w:val="21"/>
                <w:szCs w:val="21"/>
              </w:rPr>
            </w:pPr>
            <w:r>
              <w:rPr>
                <w:rFonts w:hint="default" w:ascii="Times New Roman" w:hAnsi="Times New Roman" w:cs="Times New Roman"/>
                <w:color w:val="000000"/>
                <w:sz w:val="24"/>
                <w:szCs w:val="24"/>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both"/>
              <w:rPr>
                <w:rFonts w:hint="default" w:ascii="Calibri" w:hAnsi="Calibri" w:cs="Calibri"/>
                <w:sz w:val="21"/>
                <w:szCs w:val="21"/>
              </w:rPr>
            </w:pPr>
            <w:r>
              <w:rPr>
                <w:rFonts w:hint="default" w:ascii="Times New Roman" w:hAnsi="Times New Roman" w:cs="Times New Roman"/>
                <w:color w:val="000000"/>
                <w:sz w:val="24"/>
                <w:szCs w:val="24"/>
              </w:rPr>
              <w:t>0</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both"/>
              <w:rPr>
                <w:rFonts w:hint="default" w:ascii="Calibri" w:hAnsi="Calibri" w:cs="Calibri"/>
                <w:sz w:val="21"/>
                <w:szCs w:val="21"/>
              </w:rPr>
            </w:pPr>
            <w:r>
              <w:rPr>
                <w:rFonts w:hint="default" w:ascii="Times New Roman" w:hAnsi="Times New Roman" w:cs="Times New Roman"/>
                <w:color w:val="000000"/>
                <w:sz w:val="24"/>
                <w:szCs w:val="24"/>
              </w:rPr>
              <w:t>0</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both"/>
              <w:rPr>
                <w:rFonts w:hint="default" w:ascii="Calibri" w:hAnsi="Calibri" w:cs="Calibri"/>
                <w:sz w:val="21"/>
                <w:szCs w:val="21"/>
              </w:rPr>
            </w:pPr>
            <w:r>
              <w:rPr>
                <w:rFonts w:hint="default" w:ascii="Times New Roman" w:hAnsi="Times New Roman" w:cs="Times New Roman"/>
                <w:color w:val="000000"/>
                <w:sz w:val="24"/>
                <w:szCs w:val="24"/>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both"/>
              <w:rPr>
                <w:rFonts w:hint="default" w:ascii="Calibri" w:hAnsi="Calibri" w:cs="Calibri"/>
                <w:sz w:val="21"/>
                <w:szCs w:val="21"/>
              </w:rPr>
            </w:pPr>
            <w:r>
              <w:rPr>
                <w:rFonts w:hint="default" w:ascii="Times New Roman" w:hAnsi="Times New Roman" w:cs="Times New Roman"/>
                <w:color w:val="000000"/>
                <w:sz w:val="24"/>
                <w:szCs w:val="24"/>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both"/>
              <w:rPr>
                <w:rFonts w:hint="default" w:ascii="Calibri" w:hAnsi="Calibri" w:cs="Calibri"/>
                <w:sz w:val="21"/>
                <w:szCs w:val="21"/>
              </w:rPr>
            </w:pPr>
            <w:r>
              <w:rPr>
                <w:rFonts w:hint="default" w:ascii="Times New Roman" w:hAnsi="Times New Roman" w:cs="Times New Roman"/>
                <w:color w:val="000000"/>
                <w:sz w:val="24"/>
                <w:szCs w:val="24"/>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both"/>
              <w:rPr>
                <w:rFonts w:hint="default" w:ascii="Calibri" w:hAnsi="Calibri" w:cs="Calibri"/>
                <w:sz w:val="21"/>
                <w:szCs w:val="21"/>
              </w:rPr>
            </w:pPr>
            <w:r>
              <w:rPr>
                <w:rFonts w:hint="default" w:ascii="Times New Roman" w:hAnsi="Times New Roman" w:cs="Times New Roman"/>
                <w:color w:val="000000"/>
                <w:sz w:val="24"/>
                <w:szCs w:val="24"/>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both"/>
              <w:rPr>
                <w:rFonts w:hint="default" w:ascii="Calibri" w:hAnsi="Calibri" w:cs="Calibri"/>
                <w:sz w:val="21"/>
                <w:szCs w:val="21"/>
              </w:rPr>
            </w:pPr>
            <w:r>
              <w:rPr>
                <w:rFonts w:hint="default" w:ascii="Times New Roman" w:hAnsi="Times New Roman" w:cs="Times New Roman"/>
                <w:color w:val="000000"/>
                <w:sz w:val="24"/>
                <w:szCs w:val="24"/>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both"/>
              <w:rPr>
                <w:rFonts w:hint="default" w:ascii="Calibri" w:hAnsi="Calibri" w:cs="Calibri"/>
                <w:sz w:val="21"/>
                <w:szCs w:val="21"/>
              </w:rPr>
            </w:pPr>
            <w:r>
              <w:rPr>
                <w:rFonts w:hint="default" w:ascii="Times New Roman" w:hAnsi="Times New Roman" w:cs="Times New Roman"/>
                <w:color w:val="000000"/>
                <w:sz w:val="24"/>
                <w:szCs w:val="24"/>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both"/>
              <w:rPr>
                <w:rFonts w:hint="default" w:ascii="Calibri" w:hAnsi="Calibri" w:cs="Calibri"/>
                <w:sz w:val="21"/>
                <w:szCs w:val="21"/>
              </w:rPr>
            </w:pPr>
            <w:r>
              <w:rPr>
                <w:rFonts w:hint="default" w:ascii="Times New Roman" w:hAnsi="Times New Roman" w:cs="Times New Roman"/>
                <w:color w:val="000000"/>
                <w:sz w:val="24"/>
                <w:szCs w:val="24"/>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both"/>
              <w:rPr>
                <w:rFonts w:hint="default" w:ascii="Calibri" w:hAnsi="Calibri" w:cs="Calibri"/>
                <w:sz w:val="21"/>
                <w:szCs w:val="21"/>
              </w:rPr>
            </w:pPr>
            <w:r>
              <w:rPr>
                <w:rFonts w:hint="default" w:ascii="Times New Roman" w:hAnsi="Times New Roman" w:cs="Times New Roman"/>
                <w:color w:val="000000"/>
                <w:sz w:val="24"/>
                <w:szCs w:val="24"/>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both"/>
              <w:rPr>
                <w:rFonts w:hint="default" w:ascii="Calibri" w:hAnsi="Calibri" w:cs="Calibri"/>
                <w:sz w:val="21"/>
                <w:szCs w:val="21"/>
              </w:rPr>
            </w:pPr>
            <w:r>
              <w:rPr>
                <w:rFonts w:hint="default" w:ascii="Times New Roman" w:hAnsi="Times New Roman" w:cs="Times New Roman"/>
                <w:color w:val="000000"/>
                <w:sz w:val="24"/>
                <w:szCs w:val="24"/>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both"/>
              <w:rPr>
                <w:rFonts w:hint="default" w:ascii="Calibri" w:hAnsi="Calibri" w:cs="Calibri"/>
                <w:sz w:val="21"/>
                <w:szCs w:val="21"/>
              </w:rPr>
            </w:pPr>
            <w:r>
              <w:rPr>
                <w:rFonts w:hint="default" w:ascii="Times New Roman" w:hAnsi="Times New Roman" w:cs="Times New Roman"/>
                <w:color w:val="000000"/>
                <w:sz w:val="24"/>
                <w:szCs w:val="24"/>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宋体" w:eastAsia="黑体" w:cs="黑体"/>
          <w:i w:val="0"/>
          <w:caps w:val="0"/>
          <w:color w:val="000000"/>
          <w:spacing w:val="0"/>
          <w:sz w:val="32"/>
          <w:szCs w:val="32"/>
          <w:shd w:val="clear" w:fill="FFFFFF"/>
        </w:rPr>
      </w:pPr>
      <w:r>
        <w:rPr>
          <w:rFonts w:hint="eastAsia" w:ascii="黑体" w:hAnsi="宋体" w:eastAsia="黑体" w:cs="黑体"/>
          <w:i w:val="0"/>
          <w:caps w:val="0"/>
          <w:color w:val="000000"/>
          <w:spacing w:val="0"/>
          <w:sz w:val="32"/>
          <w:szCs w:val="32"/>
          <w:shd w:val="clear" w:fill="FFFFFF"/>
        </w:rPr>
        <w:t>五、存在的主要问题及改进情况</w:t>
      </w:r>
    </w:p>
    <w:p>
      <w:pPr>
        <w:spacing w:line="560" w:lineRule="exact"/>
        <w:ind w:firstLine="656" w:firstLineChars="205"/>
        <w:rPr>
          <w:rFonts w:hint="eastAsia"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20</w:t>
      </w:r>
      <w:r>
        <w:rPr>
          <w:rFonts w:hint="eastAsia" w:ascii="Times New Roman" w:hAnsi="Times New Roman" w:eastAsia="仿宋_GB2312" w:cs="Times New Roman"/>
          <w:color w:val="000000"/>
          <w:kern w:val="0"/>
          <w:sz w:val="32"/>
          <w:szCs w:val="32"/>
          <w:lang w:val="en-US" w:eastAsia="zh-CN"/>
        </w:rPr>
        <w:t>20</w:t>
      </w:r>
      <w:r>
        <w:rPr>
          <w:rFonts w:ascii="Times New Roman" w:hAnsi="Times New Roman" w:eastAsia="仿宋_GB2312" w:cs="Times New Roman"/>
          <w:color w:val="000000"/>
          <w:kern w:val="0"/>
          <w:sz w:val="32"/>
          <w:szCs w:val="32"/>
        </w:rPr>
        <w:t>年，</w:t>
      </w:r>
      <w:r>
        <w:rPr>
          <w:rFonts w:hint="eastAsia" w:ascii="Times New Roman" w:hAnsi="Times New Roman" w:eastAsia="仿宋_GB2312" w:cs="Times New Roman"/>
          <w:color w:val="000000"/>
          <w:kern w:val="0"/>
          <w:sz w:val="32"/>
          <w:szCs w:val="32"/>
        </w:rPr>
        <w:t>经过全局干部职工的努力，</w:t>
      </w:r>
      <w:r>
        <w:rPr>
          <w:rFonts w:hint="eastAsia" w:ascii="Times New Roman" w:hAnsi="Times New Roman" w:eastAsia="仿宋_GB2312" w:cs="Times New Roman"/>
          <w:color w:val="000000"/>
          <w:kern w:val="0"/>
          <w:sz w:val="32"/>
          <w:szCs w:val="32"/>
          <w:lang w:val="en-US" w:eastAsia="zh-CN"/>
        </w:rPr>
        <w:t>我局</w:t>
      </w:r>
      <w:r>
        <w:rPr>
          <w:rFonts w:hint="eastAsia" w:ascii="Times New Roman" w:hAnsi="Times New Roman" w:eastAsia="仿宋_GB2312" w:cs="Times New Roman"/>
          <w:color w:val="000000"/>
          <w:kern w:val="0"/>
          <w:sz w:val="32"/>
          <w:szCs w:val="32"/>
        </w:rPr>
        <w:t>政府信息公开工作取得了一定成效，但也存在一些问题与不足，主要表现在以下四个方面：</w:t>
      </w:r>
    </w:p>
    <w:p>
      <w:pPr>
        <w:spacing w:line="560" w:lineRule="exact"/>
        <w:ind w:firstLine="659" w:firstLineChars="205"/>
        <w:rPr>
          <w:rFonts w:hint="eastAsia" w:ascii="Times New Roman" w:hAnsi="Times New Roman" w:eastAsia="仿宋_GB2312" w:cs="Times New Roman"/>
          <w:color w:val="000000"/>
          <w:kern w:val="0"/>
          <w:sz w:val="32"/>
          <w:szCs w:val="32"/>
        </w:rPr>
      </w:pPr>
      <w:r>
        <w:rPr>
          <w:rFonts w:hint="eastAsia" w:ascii="楷体" w:hAnsi="楷体" w:eastAsia="楷体" w:cs="楷体"/>
          <w:b/>
          <w:bCs/>
          <w:color w:val="000000"/>
          <w:kern w:val="0"/>
          <w:sz w:val="32"/>
          <w:szCs w:val="32"/>
          <w:lang w:eastAsia="zh-CN"/>
        </w:rPr>
        <w:t>（</w:t>
      </w:r>
      <w:r>
        <w:rPr>
          <w:rFonts w:hint="eastAsia" w:ascii="楷体" w:hAnsi="楷体" w:eastAsia="楷体" w:cs="楷体"/>
          <w:b/>
          <w:bCs/>
          <w:color w:val="000000"/>
          <w:kern w:val="0"/>
          <w:sz w:val="32"/>
          <w:szCs w:val="32"/>
          <w:lang w:val="en-US" w:eastAsia="zh-CN"/>
        </w:rPr>
        <w:t>一）</w:t>
      </w:r>
      <w:r>
        <w:rPr>
          <w:rFonts w:hint="eastAsia" w:ascii="楷体" w:hAnsi="楷体" w:eastAsia="楷体" w:cs="楷体"/>
          <w:b/>
          <w:bCs/>
          <w:color w:val="000000"/>
          <w:kern w:val="0"/>
          <w:sz w:val="32"/>
          <w:szCs w:val="32"/>
        </w:rPr>
        <w:t>公开内容需要进一步深化。</w:t>
      </w:r>
      <w:r>
        <w:rPr>
          <w:rFonts w:hint="eastAsia" w:ascii="Times New Roman" w:hAnsi="Times New Roman" w:eastAsia="仿宋_GB2312" w:cs="Times New Roman"/>
          <w:color w:val="000000"/>
          <w:kern w:val="0"/>
          <w:sz w:val="32"/>
          <w:szCs w:val="32"/>
        </w:rPr>
        <w:t>主动公开的政府信息与公众的需求还存在一些距离，有关与公众密切相关的决策、规定等方面需要进一步加强。</w:t>
      </w:r>
    </w:p>
    <w:p>
      <w:pPr>
        <w:spacing w:line="560" w:lineRule="exact"/>
        <w:ind w:firstLine="659" w:firstLineChars="205"/>
        <w:rPr>
          <w:rFonts w:hint="eastAsia" w:ascii="Times New Roman" w:hAnsi="Times New Roman" w:eastAsia="仿宋_GB2312" w:cs="Times New Roman"/>
          <w:color w:val="000000"/>
          <w:kern w:val="0"/>
          <w:sz w:val="32"/>
          <w:szCs w:val="32"/>
        </w:rPr>
      </w:pPr>
      <w:r>
        <w:rPr>
          <w:rFonts w:hint="eastAsia" w:ascii="楷体" w:hAnsi="楷体" w:eastAsia="楷体" w:cs="楷体"/>
          <w:b/>
          <w:bCs/>
          <w:color w:val="000000"/>
          <w:kern w:val="0"/>
          <w:sz w:val="32"/>
          <w:szCs w:val="32"/>
          <w:lang w:eastAsia="zh-CN"/>
        </w:rPr>
        <w:t>（</w:t>
      </w:r>
      <w:r>
        <w:rPr>
          <w:rFonts w:hint="eastAsia" w:ascii="楷体" w:hAnsi="楷体" w:eastAsia="楷体" w:cs="楷体"/>
          <w:b/>
          <w:bCs/>
          <w:color w:val="000000"/>
          <w:kern w:val="0"/>
          <w:sz w:val="32"/>
          <w:szCs w:val="32"/>
          <w:lang w:val="en-US" w:eastAsia="zh-CN"/>
        </w:rPr>
        <w:t>二)</w:t>
      </w:r>
      <w:r>
        <w:rPr>
          <w:rFonts w:hint="eastAsia" w:ascii="楷体" w:hAnsi="楷体" w:eastAsia="楷体" w:cs="楷体"/>
          <w:b/>
          <w:bCs/>
          <w:color w:val="000000"/>
          <w:kern w:val="0"/>
          <w:sz w:val="32"/>
          <w:szCs w:val="32"/>
        </w:rPr>
        <w:t>公开形式的便民性需要进一步提高。</w:t>
      </w:r>
      <w:r>
        <w:rPr>
          <w:rFonts w:hint="eastAsia" w:ascii="Times New Roman" w:hAnsi="Times New Roman" w:eastAsia="仿宋_GB2312" w:cs="Times New Roman"/>
          <w:color w:val="000000"/>
          <w:kern w:val="0"/>
          <w:sz w:val="32"/>
          <w:szCs w:val="32"/>
        </w:rPr>
        <w:t>虽然本局通过网站公开政府信息的同时，着力其他形式进行信息公开，但公开的形式比较单一，不够丰富，需要进一步加强。</w:t>
      </w:r>
    </w:p>
    <w:p>
      <w:pPr>
        <w:spacing w:line="560" w:lineRule="exact"/>
        <w:ind w:firstLine="659" w:firstLineChars="205"/>
        <w:rPr>
          <w:rFonts w:hint="eastAsia" w:ascii="Times New Roman" w:hAnsi="Times New Roman" w:eastAsia="仿宋_GB2312" w:cs="Times New Roman"/>
          <w:color w:val="000000"/>
          <w:kern w:val="0"/>
          <w:sz w:val="32"/>
          <w:szCs w:val="32"/>
        </w:rPr>
      </w:pPr>
      <w:r>
        <w:rPr>
          <w:rFonts w:hint="eastAsia" w:ascii="楷体" w:hAnsi="楷体" w:eastAsia="楷体" w:cs="楷体"/>
          <w:b/>
          <w:bCs/>
          <w:color w:val="000000"/>
          <w:kern w:val="0"/>
          <w:sz w:val="32"/>
          <w:szCs w:val="32"/>
          <w:lang w:eastAsia="zh-CN"/>
        </w:rPr>
        <w:t>（</w:t>
      </w:r>
      <w:r>
        <w:rPr>
          <w:rFonts w:hint="eastAsia" w:ascii="楷体" w:hAnsi="楷体" w:eastAsia="楷体" w:cs="楷体"/>
          <w:b/>
          <w:bCs/>
          <w:color w:val="000000"/>
          <w:kern w:val="0"/>
          <w:sz w:val="32"/>
          <w:szCs w:val="32"/>
          <w:lang w:val="en-US" w:eastAsia="zh-CN"/>
        </w:rPr>
        <w:t>三）</w:t>
      </w:r>
      <w:r>
        <w:rPr>
          <w:rFonts w:hint="eastAsia" w:ascii="楷体" w:hAnsi="楷体" w:eastAsia="楷体" w:cs="楷体"/>
          <w:b/>
          <w:bCs/>
          <w:color w:val="000000"/>
          <w:kern w:val="0"/>
          <w:sz w:val="32"/>
          <w:szCs w:val="32"/>
        </w:rPr>
        <w:t>宣传和引导工作需要进一步加强。</w:t>
      </w:r>
      <w:r>
        <w:rPr>
          <w:rFonts w:hint="eastAsia" w:ascii="Times New Roman" w:hAnsi="Times New Roman" w:eastAsia="仿宋_GB2312" w:cs="Times New Roman"/>
          <w:color w:val="000000"/>
          <w:kern w:val="0"/>
          <w:sz w:val="32"/>
          <w:szCs w:val="32"/>
        </w:rPr>
        <w:t>政府信息公开制度推进的实践证明，工作重点是提高公众的知晓度，虽然一年来取得了一定成效，但还存在不少工作人员和社会公众对政府信息公开尚不熟悉的问题，需要进一步加强宣传和引导工作。</w:t>
      </w:r>
    </w:p>
    <w:p>
      <w:pPr>
        <w:spacing w:line="560" w:lineRule="exact"/>
        <w:ind w:firstLine="659" w:firstLineChars="205"/>
        <w:rPr>
          <w:rFonts w:hint="eastAsia" w:ascii="Times New Roman" w:hAnsi="Times New Roman" w:eastAsia="仿宋_GB2312" w:cs="Times New Roman"/>
          <w:color w:val="000000"/>
          <w:kern w:val="0"/>
          <w:sz w:val="32"/>
          <w:szCs w:val="32"/>
        </w:rPr>
      </w:pPr>
      <w:r>
        <w:rPr>
          <w:rFonts w:hint="eastAsia" w:ascii="楷体" w:hAnsi="楷体" w:eastAsia="楷体" w:cs="楷体"/>
          <w:b/>
          <w:bCs/>
          <w:color w:val="000000"/>
          <w:kern w:val="0"/>
          <w:sz w:val="32"/>
          <w:szCs w:val="32"/>
          <w:lang w:eastAsia="zh-CN"/>
        </w:rPr>
        <w:t>（</w:t>
      </w:r>
      <w:r>
        <w:rPr>
          <w:rFonts w:hint="eastAsia" w:ascii="楷体" w:hAnsi="楷体" w:eastAsia="楷体" w:cs="楷体"/>
          <w:b/>
          <w:bCs/>
          <w:color w:val="000000"/>
          <w:kern w:val="0"/>
          <w:sz w:val="32"/>
          <w:szCs w:val="32"/>
          <w:lang w:val="en-US" w:eastAsia="zh-CN"/>
        </w:rPr>
        <w:t>四）</w:t>
      </w:r>
      <w:r>
        <w:rPr>
          <w:rFonts w:hint="eastAsia" w:ascii="楷体" w:hAnsi="楷体" w:eastAsia="楷体" w:cs="楷体"/>
          <w:b/>
          <w:bCs/>
          <w:color w:val="000000"/>
          <w:kern w:val="0"/>
          <w:sz w:val="32"/>
          <w:szCs w:val="32"/>
        </w:rPr>
        <w:t>长效工作机制建设需要进一步完善。</w:t>
      </w:r>
      <w:r>
        <w:rPr>
          <w:rFonts w:hint="eastAsia" w:ascii="Times New Roman" w:hAnsi="Times New Roman" w:eastAsia="仿宋_GB2312" w:cs="Times New Roman"/>
          <w:color w:val="000000"/>
          <w:kern w:val="0"/>
          <w:sz w:val="32"/>
          <w:szCs w:val="32"/>
        </w:rPr>
        <w:t>公开信息在更新维护、文件报备、监督约束等方面还存在着工作机制不健全的问题，需要进一步完善。</w:t>
      </w:r>
    </w:p>
    <w:p>
      <w:pPr>
        <w:spacing w:line="560" w:lineRule="exact"/>
        <w:ind w:firstLine="656" w:firstLineChars="205"/>
        <w:rPr>
          <w:rFonts w:hint="eastAsia"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202</w:t>
      </w:r>
      <w:r>
        <w:rPr>
          <w:rFonts w:hint="eastAsia" w:ascii="Times New Roman" w:hAnsi="Times New Roman" w:eastAsia="仿宋_GB2312" w:cs="Times New Roman"/>
          <w:color w:val="000000"/>
          <w:kern w:val="0"/>
          <w:sz w:val="32"/>
          <w:szCs w:val="32"/>
          <w:lang w:val="en-US" w:eastAsia="zh-CN"/>
        </w:rPr>
        <w:t>1</w:t>
      </w:r>
      <w:r>
        <w:rPr>
          <w:rFonts w:hint="eastAsia" w:ascii="Times New Roman" w:hAnsi="Times New Roman" w:eastAsia="仿宋_GB2312" w:cs="Times New Roman"/>
          <w:color w:val="000000"/>
          <w:kern w:val="0"/>
          <w:sz w:val="32"/>
          <w:szCs w:val="32"/>
        </w:rPr>
        <w:t>年，我</w:t>
      </w:r>
      <w:r>
        <w:rPr>
          <w:rFonts w:hint="eastAsia" w:ascii="Times New Roman" w:hAnsi="Times New Roman" w:eastAsia="仿宋_GB2312" w:cs="Times New Roman"/>
          <w:color w:val="000000"/>
          <w:kern w:val="0"/>
          <w:sz w:val="32"/>
          <w:szCs w:val="32"/>
          <w:lang w:val="en-US" w:eastAsia="zh-CN"/>
        </w:rPr>
        <w:t>局</w:t>
      </w:r>
      <w:r>
        <w:rPr>
          <w:rFonts w:hint="eastAsia" w:ascii="Times New Roman" w:hAnsi="Times New Roman" w:eastAsia="仿宋_GB2312" w:cs="Times New Roman"/>
          <w:color w:val="000000"/>
          <w:kern w:val="0"/>
          <w:sz w:val="32"/>
          <w:szCs w:val="32"/>
        </w:rPr>
        <w:t>将从以下几个方面，进一步推进政务公开工作：</w:t>
      </w:r>
    </w:p>
    <w:p>
      <w:pPr>
        <w:spacing w:line="560" w:lineRule="exact"/>
        <w:ind w:firstLine="659" w:firstLineChars="205"/>
        <w:rPr>
          <w:rFonts w:hint="eastAsia" w:ascii="Times New Roman" w:hAnsi="Times New Roman" w:eastAsia="仿宋_GB2312" w:cs="Times New Roman"/>
          <w:color w:val="000000"/>
          <w:kern w:val="0"/>
          <w:sz w:val="32"/>
          <w:szCs w:val="32"/>
        </w:rPr>
      </w:pPr>
      <w:r>
        <w:rPr>
          <w:rFonts w:hint="eastAsia" w:ascii="楷体" w:hAnsi="楷体" w:eastAsia="楷体" w:cs="楷体"/>
          <w:b/>
          <w:bCs/>
          <w:color w:val="000000"/>
          <w:kern w:val="0"/>
          <w:sz w:val="32"/>
          <w:szCs w:val="32"/>
          <w:lang w:eastAsia="zh-CN"/>
        </w:rPr>
        <w:t>（</w:t>
      </w:r>
      <w:r>
        <w:rPr>
          <w:rFonts w:hint="eastAsia" w:ascii="楷体" w:hAnsi="楷体" w:eastAsia="楷体" w:cs="楷体"/>
          <w:b/>
          <w:bCs/>
          <w:color w:val="000000"/>
          <w:kern w:val="0"/>
          <w:sz w:val="32"/>
          <w:szCs w:val="32"/>
          <w:lang w:val="en-US" w:eastAsia="zh-CN"/>
        </w:rPr>
        <w:t>一)</w:t>
      </w:r>
      <w:r>
        <w:rPr>
          <w:rFonts w:hint="eastAsia" w:ascii="楷体" w:hAnsi="楷体" w:eastAsia="楷体" w:cs="楷体"/>
          <w:b/>
          <w:bCs/>
          <w:color w:val="000000"/>
          <w:kern w:val="0"/>
          <w:sz w:val="32"/>
          <w:szCs w:val="32"/>
        </w:rPr>
        <w:t>充实公开内容。</w:t>
      </w:r>
      <w:r>
        <w:rPr>
          <w:rFonts w:hint="eastAsia" w:ascii="Times New Roman" w:hAnsi="Times New Roman" w:eastAsia="仿宋_GB2312" w:cs="Times New Roman"/>
          <w:color w:val="000000"/>
          <w:kern w:val="0"/>
          <w:sz w:val="32"/>
          <w:szCs w:val="32"/>
        </w:rPr>
        <w:t>重点推进三项工作：一是按照《中华人民共和国政府信息公开条例》的要求，主动公开公众密切关注的政府信息并编入信息公开目录；二是推进文件报备和完善依申请公开信息目录的工作。</w:t>
      </w:r>
    </w:p>
    <w:p>
      <w:pPr>
        <w:spacing w:line="560" w:lineRule="exact"/>
        <w:ind w:firstLine="659" w:firstLineChars="205"/>
        <w:rPr>
          <w:rFonts w:hint="eastAsia" w:ascii="Times New Roman" w:hAnsi="Times New Roman" w:eastAsia="仿宋_GB2312" w:cs="Times New Roman"/>
          <w:color w:val="000000"/>
          <w:kern w:val="0"/>
          <w:sz w:val="32"/>
          <w:szCs w:val="32"/>
        </w:rPr>
      </w:pPr>
      <w:r>
        <w:rPr>
          <w:rFonts w:hint="eastAsia" w:ascii="楷体" w:hAnsi="楷体" w:eastAsia="楷体" w:cs="楷体"/>
          <w:b/>
          <w:bCs/>
          <w:color w:val="000000"/>
          <w:kern w:val="0"/>
          <w:sz w:val="32"/>
          <w:szCs w:val="32"/>
          <w:lang w:eastAsia="zh-CN"/>
        </w:rPr>
        <w:t>（</w:t>
      </w:r>
      <w:r>
        <w:rPr>
          <w:rFonts w:hint="eastAsia" w:ascii="楷体" w:hAnsi="楷体" w:eastAsia="楷体" w:cs="楷体"/>
          <w:b/>
          <w:bCs/>
          <w:color w:val="000000"/>
          <w:kern w:val="0"/>
          <w:sz w:val="32"/>
          <w:szCs w:val="32"/>
          <w:lang w:val="en-US" w:eastAsia="zh-CN"/>
        </w:rPr>
        <w:t>二)</w:t>
      </w:r>
      <w:r>
        <w:rPr>
          <w:rFonts w:hint="eastAsia" w:ascii="楷体" w:hAnsi="楷体" w:eastAsia="楷体" w:cs="楷体"/>
          <w:b/>
          <w:bCs/>
          <w:color w:val="000000"/>
          <w:kern w:val="0"/>
          <w:sz w:val="32"/>
          <w:szCs w:val="32"/>
        </w:rPr>
        <w:t>拓展公开形式。</w:t>
      </w:r>
      <w:r>
        <w:rPr>
          <w:rFonts w:hint="eastAsia" w:ascii="Times New Roman" w:hAnsi="Times New Roman" w:eastAsia="仿宋_GB2312" w:cs="Times New Roman"/>
          <w:color w:val="000000"/>
          <w:kern w:val="0"/>
          <w:sz w:val="32"/>
          <w:szCs w:val="32"/>
        </w:rPr>
        <w:t>重点做好三项工作：一是继续加强网上政府信息公开工作，把信息公开工作重心，要从栏目建设转变为内容建设，尽最大范围主动公开政府信息；二是要继续做好政府信息目录的更新维护，为广大人民群众的需求提供便利；三是对使用频率高、公众咨询多的</w:t>
      </w:r>
      <w:r>
        <w:rPr>
          <w:rFonts w:hint="eastAsia" w:ascii="Times New Roman" w:hAnsi="Times New Roman" w:eastAsia="仿宋_GB2312" w:cs="Times New Roman"/>
          <w:color w:val="000000"/>
          <w:kern w:val="0"/>
          <w:sz w:val="32"/>
          <w:szCs w:val="32"/>
          <w:lang w:val="en-US" w:eastAsia="zh-CN"/>
        </w:rPr>
        <w:t>住房和城乡建设</w:t>
      </w:r>
      <w:r>
        <w:rPr>
          <w:rFonts w:hint="eastAsia" w:ascii="Times New Roman" w:hAnsi="Times New Roman" w:eastAsia="仿宋_GB2312" w:cs="Times New Roman"/>
          <w:color w:val="000000"/>
          <w:kern w:val="0"/>
          <w:sz w:val="32"/>
          <w:szCs w:val="32"/>
        </w:rPr>
        <w:t>政策法规和相关办事程序等，编制便民问答手册，开设“网上互动平台”，建立与群众直接对话的“渠道”。</w:t>
      </w:r>
    </w:p>
    <w:p>
      <w:pPr>
        <w:spacing w:line="560" w:lineRule="exact"/>
        <w:ind w:firstLine="659" w:firstLineChars="205"/>
        <w:rPr>
          <w:rFonts w:hint="eastAsia" w:ascii="Times New Roman" w:hAnsi="Times New Roman" w:eastAsia="仿宋_GB2312" w:cs="Times New Roman"/>
          <w:color w:val="000000"/>
          <w:kern w:val="0"/>
          <w:sz w:val="32"/>
          <w:szCs w:val="32"/>
        </w:rPr>
      </w:pPr>
      <w:r>
        <w:rPr>
          <w:rFonts w:hint="eastAsia" w:ascii="楷体" w:hAnsi="楷体" w:eastAsia="楷体" w:cs="楷体"/>
          <w:b/>
          <w:bCs/>
          <w:color w:val="000000"/>
          <w:kern w:val="0"/>
          <w:sz w:val="32"/>
          <w:szCs w:val="32"/>
          <w:lang w:eastAsia="zh-CN"/>
        </w:rPr>
        <w:t>（</w:t>
      </w:r>
      <w:r>
        <w:rPr>
          <w:rFonts w:hint="eastAsia" w:ascii="楷体" w:hAnsi="楷体" w:eastAsia="楷体" w:cs="楷体"/>
          <w:b/>
          <w:bCs/>
          <w:color w:val="000000"/>
          <w:kern w:val="0"/>
          <w:sz w:val="32"/>
          <w:szCs w:val="32"/>
          <w:lang w:val="en-US" w:eastAsia="zh-CN"/>
        </w:rPr>
        <w:t>三）</w:t>
      </w:r>
      <w:r>
        <w:rPr>
          <w:rFonts w:hint="eastAsia" w:ascii="楷体" w:hAnsi="楷体" w:eastAsia="楷体" w:cs="楷体"/>
          <w:b/>
          <w:bCs/>
          <w:color w:val="000000"/>
          <w:kern w:val="0"/>
          <w:sz w:val="32"/>
          <w:szCs w:val="32"/>
        </w:rPr>
        <w:t>加大普及宣传。</w:t>
      </w:r>
      <w:r>
        <w:rPr>
          <w:rFonts w:hint="eastAsia" w:ascii="Times New Roman" w:hAnsi="Times New Roman" w:eastAsia="仿宋_GB2312" w:cs="Times New Roman"/>
          <w:color w:val="000000"/>
          <w:kern w:val="0"/>
          <w:sz w:val="32"/>
          <w:szCs w:val="32"/>
        </w:rPr>
        <w:t>充分利用微信、微博、网站等宣传媒体，加大力度宣传政府信息公开，扩大政府信息公开工作的知晓率。</w:t>
      </w:r>
    </w:p>
    <w:p>
      <w:pPr>
        <w:spacing w:line="560" w:lineRule="exact"/>
        <w:ind w:firstLine="659" w:firstLineChars="205"/>
        <w:rPr>
          <w:rFonts w:ascii="Times New Roman" w:hAnsi="Times New Roman" w:eastAsia="仿宋_GB2312" w:cs="Times New Roman"/>
          <w:color w:val="000000"/>
          <w:kern w:val="0"/>
          <w:sz w:val="32"/>
          <w:szCs w:val="32"/>
        </w:rPr>
      </w:pPr>
      <w:r>
        <w:rPr>
          <w:rFonts w:hint="eastAsia" w:ascii="楷体" w:hAnsi="楷体" w:eastAsia="楷体" w:cs="楷体"/>
          <w:b/>
          <w:bCs/>
          <w:color w:val="000000"/>
          <w:kern w:val="0"/>
          <w:sz w:val="32"/>
          <w:szCs w:val="32"/>
          <w:lang w:eastAsia="zh-CN"/>
        </w:rPr>
        <w:t>（</w:t>
      </w:r>
      <w:r>
        <w:rPr>
          <w:rFonts w:hint="eastAsia" w:ascii="楷体" w:hAnsi="楷体" w:eastAsia="楷体" w:cs="楷体"/>
          <w:b/>
          <w:bCs/>
          <w:color w:val="000000"/>
          <w:kern w:val="0"/>
          <w:sz w:val="32"/>
          <w:szCs w:val="32"/>
          <w:lang w:val="en-US" w:eastAsia="zh-CN"/>
        </w:rPr>
        <w:t>四）</w:t>
      </w:r>
      <w:r>
        <w:rPr>
          <w:rFonts w:hint="eastAsia" w:ascii="楷体" w:hAnsi="楷体" w:eastAsia="楷体" w:cs="楷体"/>
          <w:b/>
          <w:bCs/>
          <w:color w:val="000000"/>
          <w:kern w:val="0"/>
          <w:sz w:val="32"/>
          <w:szCs w:val="32"/>
        </w:rPr>
        <w:t>建设长效工作机制。</w:t>
      </w:r>
      <w:r>
        <w:rPr>
          <w:rFonts w:hint="eastAsia" w:ascii="Times New Roman" w:hAnsi="Times New Roman" w:eastAsia="仿宋_GB2312" w:cs="Times New Roman"/>
          <w:color w:val="000000"/>
          <w:kern w:val="0"/>
          <w:sz w:val="32"/>
          <w:szCs w:val="32"/>
        </w:rPr>
        <w:t>进一步健全政府信息公开内容审查和更新维护、考核评估、监督检查评议、培训宣传等工作制度，建立和完善信息公开审查制度，确保政府信息公开的各项工作落到实处。</w:t>
      </w:r>
    </w:p>
    <w:p>
      <w:pPr>
        <w:pStyle w:val="3"/>
        <w:shd w:val="clear" w:color="auto" w:fill="FFFFFF"/>
        <w:spacing w:beforeAutospacing="0" w:afterAutospacing="0" w:line="560" w:lineRule="exact"/>
        <w:ind w:firstLine="739" w:firstLineChars="231"/>
        <w:jc w:val="both"/>
        <w:rPr>
          <w:rFonts w:ascii="Times New Roman" w:hAnsi="Times New Roman" w:eastAsia="黑体"/>
          <w:bCs/>
          <w:color w:val="000000"/>
          <w:sz w:val="32"/>
          <w:szCs w:val="32"/>
          <w:shd w:val="clear" w:color="auto" w:fill="FFFFFF"/>
        </w:rPr>
      </w:pPr>
      <w:r>
        <w:rPr>
          <w:rFonts w:ascii="Times New Roman" w:hAnsi="Times New Roman" w:eastAsia="黑体"/>
          <w:bCs/>
          <w:color w:val="000000"/>
          <w:sz w:val="32"/>
          <w:szCs w:val="32"/>
          <w:shd w:val="clear" w:color="auto" w:fill="FFFFFF"/>
        </w:rPr>
        <w:t>六、其他需要报告的事项</w:t>
      </w:r>
    </w:p>
    <w:p>
      <w:pPr>
        <w:pStyle w:val="3"/>
        <w:shd w:val="clear" w:color="auto" w:fill="FFFFFF"/>
        <w:spacing w:beforeAutospacing="0" w:afterAutospacing="0" w:line="560" w:lineRule="exact"/>
        <w:ind w:firstLine="739" w:firstLineChars="231"/>
        <w:jc w:val="both"/>
        <w:rPr>
          <w:rFonts w:hint="default"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无其他需报告的事项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黑体" w:hAnsi="宋体" w:eastAsia="黑体" w:cs="黑体"/>
          <w:i w:val="0"/>
          <w:caps w:val="0"/>
          <w:color w:val="000000"/>
          <w:spacing w:val="0"/>
          <w:sz w:val="32"/>
          <w:szCs w:val="32"/>
          <w:shd w:val="clear" w:fill="FFFFFF"/>
        </w:rPr>
      </w:pPr>
    </w:p>
    <w:p>
      <w:pPr>
        <w:pStyle w:val="2"/>
        <w:rPr>
          <w:rFonts w:hint="eastAsia"/>
          <w:lang w:val="en-US" w:eastAsia="zh-CN"/>
        </w:rPr>
      </w:pPr>
    </w:p>
    <w:p>
      <w:pPr>
        <w:pStyle w:val="2"/>
      </w:pPr>
    </w:p>
    <w:p>
      <w:pPr>
        <w:rPr>
          <w:rFonts w:hint="eastAsia"/>
          <w:lang w:val="en-US" w:eastAsia="zh-CN"/>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SourceHanSansCN-Regular">
    <w:altName w:val="Segoe Print"/>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ECC12F4"/>
    <w:rsid w:val="389728DE"/>
    <w:rsid w:val="775214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cs="仿宋" w:asciiTheme="minorHAnsi" w:hAnsiTheme="minorHAnsi" w:eastAsiaTheme="minorEastAsia"/>
      <w:kern w:val="0"/>
      <w:sz w:val="32"/>
      <w:szCs w:val="32"/>
      <w:lang w:val="en-US" w:eastAsia="zh-CN" w:bidi="ar-SA"/>
    </w:rPr>
  </w:style>
  <w:style w:type="paragraph" w:styleId="2">
    <w:name w:val="heading 2"/>
    <w:basedOn w:val="1"/>
    <w:next w:val="1"/>
    <w:qFormat/>
    <w:uiPriority w:val="99"/>
    <w:pPr>
      <w:keepNext/>
      <w:keepLines/>
      <w:spacing w:before="260" w:after="260" w:line="416" w:lineRule="auto"/>
      <w:outlineLvl w:val="1"/>
    </w:pPr>
    <w:rPr>
      <w:rFonts w:ascii="Cambria" w:hAnsi="Cambria"/>
      <w:b/>
      <w:bCs/>
      <w:sz w:val="32"/>
      <w:szCs w:val="32"/>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2020-05-22T00:59:00Z</dcterms:created>
  <dc:creator>ASUS</dc:creator>
  <cp:lastModifiedBy>ASUS</cp:lastModifiedBy>
  <dcterms:modified xsi:type="dcterms:W3CDTF">2021-04-29T09:31:06Z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BFA7AF87F5164E628896867E46B58C77</vt:lpwstr>
  </property>
</Properties>
</file>