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883" w:firstLineChars="200"/>
        <w:jc w:val="center"/>
        <w:rPr>
          <w:rFonts w:hint="eastAsia" w:ascii="宋体" w:hAnsi="宋体" w:eastAsia="宋体" w:cs="宋体"/>
          <w:b/>
          <w:bCs/>
          <w:i w:val="0"/>
          <w:iCs w:val="0"/>
          <w:caps w:val="0"/>
          <w:color w:val="333333"/>
          <w:spacing w:val="0"/>
          <w:sz w:val="44"/>
          <w:szCs w:val="44"/>
          <w:bdr w:val="none" w:color="auto" w:sz="0" w:space="0"/>
          <w:shd w:val="clear" w:fill="FFFFFF"/>
        </w:rPr>
      </w:pPr>
      <w:r>
        <w:rPr>
          <w:rFonts w:hint="eastAsia" w:ascii="宋体" w:hAnsi="宋体" w:eastAsia="宋体" w:cs="宋体"/>
          <w:b/>
          <w:bCs/>
          <w:i w:val="0"/>
          <w:iCs w:val="0"/>
          <w:caps w:val="0"/>
          <w:color w:val="333333"/>
          <w:spacing w:val="0"/>
          <w:sz w:val="44"/>
          <w:szCs w:val="44"/>
          <w:bdr w:val="none" w:color="auto" w:sz="0" w:space="0"/>
          <w:shd w:val="clear" w:fill="FFFFFF"/>
        </w:rPr>
        <w:t>上高县科技局2020年政府信息公开工作年度报告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pPr>
      <w:r>
        <w:rPr>
          <w:rFonts w:hint="eastAsia" w:ascii="宋体" w:hAnsi="宋体" w:eastAsia="宋体" w:cs="宋体"/>
          <w:i w:val="0"/>
          <w:iCs w:val="0"/>
          <w:caps w:val="0"/>
          <w:color w:val="333333"/>
          <w:spacing w:val="0"/>
          <w:sz w:val="32"/>
          <w:szCs w:val="32"/>
          <w:bdr w:val="none" w:color="auto" w:sz="0" w:space="0"/>
          <w:shd w:val="clear" w:fill="FFFFFF"/>
        </w:rPr>
        <w:t>本报告依据《中华人民共和国政府信息公开条例》（国</w:t>
      </w:r>
      <w:bookmarkStart w:id="0" w:name="_GoBack"/>
      <w:bookmarkEnd w:id="0"/>
      <w:r>
        <w:rPr>
          <w:rFonts w:hint="eastAsia" w:ascii="宋体" w:hAnsi="宋体" w:eastAsia="宋体" w:cs="宋体"/>
          <w:i w:val="0"/>
          <w:iCs w:val="0"/>
          <w:caps w:val="0"/>
          <w:color w:val="333333"/>
          <w:spacing w:val="0"/>
          <w:sz w:val="32"/>
          <w:szCs w:val="32"/>
          <w:bdr w:val="none" w:color="auto" w:sz="0" w:space="0"/>
          <w:shd w:val="clear" w:fill="FFFFFF"/>
        </w:rPr>
        <w:t>务院令第</w:t>
      </w:r>
      <w:r>
        <w:rPr>
          <w:i w:val="0"/>
          <w:iCs w:val="0"/>
          <w:caps w:val="0"/>
          <w:color w:val="333333"/>
          <w:spacing w:val="0"/>
          <w:sz w:val="32"/>
          <w:szCs w:val="32"/>
          <w:bdr w:val="none" w:color="auto" w:sz="0" w:space="0"/>
          <w:shd w:val="clear" w:fill="FFFFFF"/>
        </w:rPr>
        <w:t>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iCs w:val="0"/>
          <w:caps w:val="0"/>
          <w:color w:val="333333"/>
          <w:spacing w:val="0"/>
          <w:sz w:val="32"/>
          <w:szCs w:val="32"/>
          <w:bdr w:val="none" w:color="auto" w:sz="0" w:space="0"/>
          <w:shd w:val="clear" w:fill="FFFFFF"/>
        </w:rPr>
        <w:t>科技局结合有关统计数据编制。本年度报告中所列数据的统计期限自</w:t>
      </w:r>
      <w:r>
        <w:rPr>
          <w:i w:val="0"/>
          <w:iCs w:val="0"/>
          <w:caps w:val="0"/>
          <w:color w:val="333333"/>
          <w:spacing w:val="0"/>
          <w:sz w:val="32"/>
          <w:szCs w:val="32"/>
          <w:bdr w:val="none" w:color="auto" w:sz="0" w:space="0"/>
          <w:shd w:val="clear" w:fill="FFFFFF"/>
        </w:rPr>
        <w:t>2020</w:t>
      </w:r>
      <w:r>
        <w:rPr>
          <w:rFonts w:hint="eastAsia" w:ascii="宋体" w:hAnsi="宋体" w:eastAsia="宋体" w:cs="宋体"/>
          <w:i w:val="0"/>
          <w:iCs w:val="0"/>
          <w:caps w:val="0"/>
          <w:color w:val="333333"/>
          <w:spacing w:val="0"/>
          <w:sz w:val="32"/>
          <w:szCs w:val="32"/>
          <w:bdr w:val="none" w:color="auto" w:sz="0" w:space="0"/>
          <w:shd w:val="clear" w:fill="FFFFFF"/>
        </w:rPr>
        <w:t>年</w:t>
      </w:r>
      <w:r>
        <w:rPr>
          <w:i w:val="0"/>
          <w:iCs w:val="0"/>
          <w:caps w:val="0"/>
          <w:color w:val="333333"/>
          <w:spacing w:val="0"/>
          <w:sz w:val="32"/>
          <w:szCs w:val="32"/>
          <w:bdr w:val="none" w:color="auto" w:sz="0" w:space="0"/>
          <w:shd w:val="clear" w:fill="FFFFFF"/>
        </w:rPr>
        <w:t>1月1日起至2020</w:t>
      </w:r>
      <w:r>
        <w:rPr>
          <w:rFonts w:hint="eastAsia" w:ascii="宋体" w:hAnsi="宋体" w:eastAsia="宋体" w:cs="宋体"/>
          <w:i w:val="0"/>
          <w:iCs w:val="0"/>
          <w:caps w:val="0"/>
          <w:color w:val="333333"/>
          <w:spacing w:val="0"/>
          <w:sz w:val="32"/>
          <w:szCs w:val="32"/>
          <w:bdr w:val="none" w:color="auto" w:sz="0" w:space="0"/>
          <w:shd w:val="clear" w:fill="FFFFFF"/>
        </w:rPr>
        <w:t>年</w:t>
      </w:r>
      <w:r>
        <w:rPr>
          <w:i w:val="0"/>
          <w:iCs w:val="0"/>
          <w:caps w:val="0"/>
          <w:color w:val="333333"/>
          <w:spacing w:val="0"/>
          <w:sz w:val="32"/>
          <w:szCs w:val="32"/>
          <w:bdr w:val="none" w:color="auto" w:sz="0" w:space="0"/>
          <w:shd w:val="clear" w:fill="FFFFFF"/>
        </w:rPr>
        <w:t>12月31日止。全文包括总体情况、主动公开政府信息情况、收到和处理政府信息公开申请情况、政府信息公开行政复议行政诉讼情况、存在的主要问题及改进情况、其他需要报告的事项。本年度报告的电子版可以从上高县</w:t>
      </w:r>
      <w:r>
        <w:rPr>
          <w:rFonts w:hint="eastAsia" w:ascii="宋体" w:hAnsi="宋体" w:eastAsia="宋体" w:cs="宋体"/>
          <w:i w:val="0"/>
          <w:iCs w:val="0"/>
          <w:caps w:val="0"/>
          <w:color w:val="333333"/>
          <w:spacing w:val="0"/>
          <w:sz w:val="32"/>
          <w:szCs w:val="32"/>
          <w:bdr w:val="none" w:color="auto" w:sz="0" w:space="0"/>
          <w:shd w:val="clear" w:fill="FFFFFF"/>
        </w:rPr>
        <w:t>人民政府网站</w:t>
      </w:r>
      <w:r>
        <w:rPr>
          <w:i w:val="0"/>
          <w:iCs w:val="0"/>
          <w:caps w:val="0"/>
          <w:color w:val="333333"/>
          <w:spacing w:val="0"/>
          <w:sz w:val="32"/>
          <w:szCs w:val="32"/>
          <w:bdr w:val="none" w:color="auto" w:sz="0" w:space="0"/>
          <w:shd w:val="clear" w:fill="FFFFFF"/>
        </w:rPr>
        <w:t>（www.shanggao.gov.cn）</w:t>
      </w:r>
      <w:r>
        <w:rPr>
          <w:rFonts w:hint="eastAsia" w:ascii="宋体" w:hAnsi="宋体" w:eastAsia="宋体" w:cs="宋体"/>
          <w:i w:val="0"/>
          <w:iCs w:val="0"/>
          <w:caps w:val="0"/>
          <w:color w:val="333333"/>
          <w:spacing w:val="0"/>
          <w:sz w:val="32"/>
          <w:szCs w:val="32"/>
          <w:bdr w:val="none" w:color="auto" w:sz="0" w:space="0"/>
          <w:shd w:val="clear" w:fill="FFFFFF"/>
        </w:rPr>
        <w:t>下载。如对本报告有任何疑问，请与</w:t>
      </w:r>
      <w:r>
        <w:rPr>
          <w:i w:val="0"/>
          <w:iCs w:val="0"/>
          <w:caps w:val="0"/>
          <w:color w:val="333333"/>
          <w:spacing w:val="0"/>
          <w:sz w:val="32"/>
          <w:szCs w:val="32"/>
          <w:bdr w:val="none" w:color="auto" w:sz="0" w:space="0"/>
          <w:shd w:val="clear" w:fill="FFFFFF"/>
        </w:rPr>
        <w:t>科技局</w:t>
      </w:r>
      <w:r>
        <w:rPr>
          <w:rFonts w:hint="eastAsia" w:ascii="宋体" w:hAnsi="宋体" w:eastAsia="宋体" w:cs="宋体"/>
          <w:i w:val="0"/>
          <w:iCs w:val="0"/>
          <w:caps w:val="0"/>
          <w:color w:val="333333"/>
          <w:spacing w:val="0"/>
          <w:sz w:val="32"/>
          <w:szCs w:val="32"/>
          <w:bdr w:val="none" w:color="auto" w:sz="0" w:space="0"/>
          <w:shd w:val="clear" w:fill="FFFFFF"/>
        </w:rPr>
        <w:t>联系（地址：上高县清莲路</w:t>
      </w:r>
      <w:r>
        <w:rPr>
          <w:i w:val="0"/>
          <w:iCs w:val="0"/>
          <w:caps w:val="0"/>
          <w:color w:val="333333"/>
          <w:spacing w:val="0"/>
          <w:sz w:val="32"/>
          <w:szCs w:val="32"/>
          <w:bdr w:val="none" w:color="auto" w:sz="0" w:space="0"/>
          <w:shd w:val="clear" w:fill="FFFFFF"/>
        </w:rPr>
        <w:t>9号</w:t>
      </w:r>
      <w:r>
        <w:rPr>
          <w:rFonts w:hint="eastAsia" w:ascii="宋体" w:hAnsi="宋体" w:eastAsia="宋体" w:cs="宋体"/>
          <w:i w:val="0"/>
          <w:iCs w:val="0"/>
          <w:caps w:val="0"/>
          <w:color w:val="333333"/>
          <w:spacing w:val="0"/>
          <w:sz w:val="32"/>
          <w:szCs w:val="32"/>
          <w:bdr w:val="none" w:color="auto" w:sz="0" w:space="0"/>
          <w:shd w:val="clear" w:fill="FFFFFF"/>
        </w:rPr>
        <w:t>，电话：</w:t>
      </w:r>
      <w:r>
        <w:rPr>
          <w:i w:val="0"/>
          <w:iCs w:val="0"/>
          <w:caps w:val="0"/>
          <w:color w:val="333333"/>
          <w:spacing w:val="0"/>
          <w:sz w:val="32"/>
          <w:szCs w:val="32"/>
          <w:bdr w:val="none" w:color="auto" w:sz="0" w:space="0"/>
          <w:shd w:val="clear" w:fill="FFFFFF"/>
        </w:rPr>
        <w:t>0795-2521996</w:t>
      </w:r>
      <w:r>
        <w:rPr>
          <w:rFonts w:hint="eastAsia" w:ascii="宋体" w:hAnsi="宋体" w:eastAsia="宋体" w:cs="宋体"/>
          <w:i w:val="0"/>
          <w:iCs w:val="0"/>
          <w:caps w:val="0"/>
          <w:color w:val="333333"/>
          <w:spacing w:val="0"/>
          <w:sz w:val="32"/>
          <w:szCs w:val="32"/>
          <w:bdr w:val="none" w:color="auto" w:sz="0" w:space="0"/>
          <w:shd w:val="clear" w:fill="FFFFFF"/>
        </w:rPr>
        <w:t>，邮编：</w:t>
      </w:r>
      <w:r>
        <w:rPr>
          <w:i w:val="0"/>
          <w:iCs w:val="0"/>
          <w:caps w:val="0"/>
          <w:color w:val="333333"/>
          <w:spacing w:val="0"/>
          <w:sz w:val="32"/>
          <w:szCs w:val="32"/>
          <w:bdr w:val="none" w:color="auto" w:sz="0" w:space="0"/>
          <w:shd w:val="clear" w:fill="FFFFFF"/>
        </w:rPr>
        <w:t>336400</w:t>
      </w:r>
      <w:r>
        <w:rPr>
          <w:rFonts w:hint="eastAsia" w:ascii="宋体" w:hAnsi="宋体" w:eastAsia="宋体" w:cs="宋体"/>
          <w:i w:val="0"/>
          <w:iCs w:val="0"/>
          <w:caps w:val="0"/>
          <w:color w:val="333333"/>
          <w:spacing w:val="0"/>
          <w:sz w:val="32"/>
          <w:szCs w:val="32"/>
          <w:bdr w:val="none" w:color="auto" w:sz="0" w:space="0"/>
          <w:shd w:val="clear" w:fill="FFFFFF"/>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b w:val="0"/>
          <w:bCs w:val="0"/>
          <w:i w:val="0"/>
          <w:iCs w:val="0"/>
          <w:caps w:val="0"/>
          <w:color w:val="333333"/>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pPr>
      <w:r>
        <w:rPr>
          <w:i w:val="0"/>
          <w:iCs w:val="0"/>
          <w:caps w:val="0"/>
          <w:color w:val="333333"/>
          <w:spacing w:val="0"/>
          <w:sz w:val="32"/>
          <w:szCs w:val="32"/>
          <w:bdr w:val="none" w:color="auto" w:sz="0" w:space="0"/>
          <w:shd w:val="clear" w:fill="FFFFFF"/>
        </w:rPr>
        <w:t>2020年县科技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明确目标任务，紧紧围绕省委、省政府中心工作及社会群众关注关切，着力提升政府信息公开质量，推进拓宽政府信息公开渠道，不断增强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（一）突出公开重点，深化主动公开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i w:val="0"/>
          <w:iCs w:val="0"/>
          <w:caps w:val="0"/>
          <w:color w:val="333333"/>
          <w:spacing w:val="0"/>
          <w:sz w:val="21"/>
          <w:szCs w:val="21"/>
        </w:rPr>
      </w:pPr>
      <w:r>
        <w:rPr>
          <w:i w:val="0"/>
          <w:iCs w:val="0"/>
          <w:caps w:val="0"/>
          <w:color w:val="333333"/>
          <w:spacing w:val="0"/>
          <w:sz w:val="32"/>
          <w:szCs w:val="32"/>
          <w:bdr w:val="none" w:color="auto" w:sz="0" w:space="0"/>
          <w:shd w:val="clear" w:fill="FFFFFF"/>
        </w:rPr>
        <w:t>全面推进政府信息公开专栏建设，结合工作实际完善法定主动公开内容，及时发布政府信息，切实加大主动公开力度。聚焦重点领域，围绕各项主要经济指标工作的公开，切实提升主动公开实效。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（二）围绕公众关切，做好解读回应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i w:val="0"/>
          <w:iCs w:val="0"/>
          <w:caps w:val="0"/>
          <w:color w:val="333333"/>
          <w:spacing w:val="0"/>
          <w:sz w:val="21"/>
          <w:szCs w:val="21"/>
        </w:rPr>
      </w:pPr>
      <w:r>
        <w:rPr>
          <w:i w:val="0"/>
          <w:iCs w:val="0"/>
          <w:caps w:val="0"/>
          <w:color w:val="333333"/>
          <w:spacing w:val="0"/>
          <w:sz w:val="32"/>
          <w:szCs w:val="32"/>
          <w:bdr w:val="none" w:color="auto" w:sz="0" w:space="0"/>
          <w:shd w:val="clear" w:fill="FFFFFF"/>
        </w:rPr>
        <w:t>健全规范性文件与解读材料同步起草、同步研究、同步发布制度，综合运用文字、表格、图解等多种表现形式不断加强信息公开政策解读。同时，紧盯公众关心重点热点问题，及时回应关切。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（三）完善工作流程，规范依申请公开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i w:val="0"/>
          <w:iCs w:val="0"/>
          <w:caps w:val="0"/>
          <w:color w:val="333333"/>
          <w:spacing w:val="0"/>
          <w:sz w:val="32"/>
          <w:szCs w:val="32"/>
          <w:bdr w:val="none" w:color="auto" w:sz="0" w:space="0"/>
          <w:shd w:val="clear" w:fill="FFFFFF"/>
        </w:rPr>
        <w:t>及时修订完善依法申请公开制度和信息公开指南，健全受理、审查、处理、答复、寄送、归档等工作流程。加强与申请人的沟通，及时做好解释说明；加强与各专业负责人的对接，对答复难度较大的申请件做好研究。同时，按要求做好申请件的数据统计、分析并及时在网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（四）建立健全机制，强化政府信息管理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i w:val="0"/>
          <w:iCs w:val="0"/>
          <w:caps w:val="0"/>
          <w:color w:val="333333"/>
          <w:spacing w:val="0"/>
          <w:sz w:val="32"/>
          <w:szCs w:val="32"/>
          <w:bdr w:val="none" w:color="auto" w:sz="0" w:space="0"/>
          <w:shd w:val="clear" w:fill="FFFFFF"/>
        </w:rPr>
        <w:t>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不断加强信息员队伍建设，切实增强信息报送和发布的质量，确保信息公开的及时性、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（五）加强运行管理，推进平台建设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i w:val="0"/>
          <w:iCs w:val="0"/>
          <w:caps w:val="0"/>
          <w:color w:val="333333"/>
          <w:spacing w:val="0"/>
          <w:sz w:val="32"/>
          <w:szCs w:val="32"/>
          <w:bdr w:val="none" w:color="auto" w:sz="0" w:space="0"/>
          <w:shd w:val="clear" w:fill="FFFFFF"/>
        </w:rPr>
        <w:t>强化门户网站建设运行，根据上高县要求做好网站信息资源库建设，完成栏目调整和信息资源库目录绑定和信息推送入库归集工作。落实安全保障机制，定期开展网络安全自查，确保平台平稳运行。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b/>
          <w:bCs/>
          <w:i w:val="0"/>
          <w:iCs w:val="0"/>
          <w:caps w:val="0"/>
          <w:color w:val="333333"/>
          <w:spacing w:val="0"/>
          <w:sz w:val="32"/>
          <w:szCs w:val="32"/>
          <w:bdr w:val="none" w:color="auto" w:sz="0" w:space="0"/>
          <w:shd w:val="clear" w:fill="FFFFFF"/>
        </w:rPr>
        <w:t>（六）抓好工作落实，夯实监督保障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i w:val="0"/>
          <w:iCs w:val="0"/>
          <w:caps w:val="0"/>
          <w:color w:val="333333"/>
          <w:spacing w:val="0"/>
          <w:sz w:val="21"/>
          <w:szCs w:val="21"/>
        </w:rPr>
      </w:pPr>
      <w:r>
        <w:rPr>
          <w:i w:val="0"/>
          <w:iCs w:val="0"/>
          <w:caps w:val="0"/>
          <w:color w:val="333333"/>
          <w:spacing w:val="0"/>
          <w:sz w:val="32"/>
          <w:szCs w:val="32"/>
          <w:bdr w:val="none" w:color="auto" w:sz="0" w:space="0"/>
          <w:shd w:val="clear" w:fill="FFFFFF"/>
        </w:rPr>
        <w:t>认真抓好政务信息公开工作，坚持把政府信息公开工作作为重要内容来抓，及时分析研究工作中存在的问题并落实改进措施。年初局内会认真部署研究，明确工作任务和职责，全面推动责任落实、工作落地。同时，严格执行信息公开审查要求，定期开展自查并落实整改，切实推动政府信息公开工作标准化、规范化。</w:t>
      </w:r>
    </w:p>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b w:val="0"/>
          <w:bCs w:val="0"/>
          <w:kern w:val="0"/>
          <w:sz w:val="32"/>
          <w:szCs w:val="32"/>
          <w:lang w:val="en-US" w:eastAsia="zh-CN" w:bidi="ar"/>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规    章</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 xml:space="preserve">0 </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规范性文件（本单位制发的）</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行政许可</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其他对外管理服务事项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行政处罚</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行政强制</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行政事业性收费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政府集中采购</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asciiTheme="minorHAnsi" w:hAnsiTheme="minorHAnsi" w:eastAsiaTheme="minorEastAsia" w:cstheme="minorBidi"/>
                <w:color w:val="000000"/>
                <w:kern w:val="0"/>
                <w:sz w:val="21"/>
                <w:szCs w:val="21"/>
                <w:bdr w:val="none" w:color="auto" w:sz="0" w:space="0"/>
                <w:lang w:val="en-US" w:eastAsia="zh-CN" w:bidi="ar"/>
              </w:rPr>
              <w:t>0</w:t>
            </w:r>
          </w:p>
        </w:tc>
      </w:tr>
    </w:tbl>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b/>
          <w:bCs/>
          <w:kern w:val="0"/>
          <w:sz w:val="32"/>
          <w:szCs w:val="32"/>
          <w:lang w:val="en-US" w:eastAsia="zh-CN" w:bidi="ar"/>
        </w:rPr>
        <w:t> </w:t>
      </w:r>
    </w:p>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b w:val="0"/>
          <w:bCs w:val="0"/>
          <w:color w:val="000000"/>
          <w:kern w:val="0"/>
          <w:sz w:val="32"/>
          <w:szCs w:val="32"/>
          <w:lang w:val="en-US" w:eastAsia="zh-CN" w:bidi="ar"/>
        </w:rPr>
        <w:t>三、收到和处理政府信息公开申请情况</w:t>
      </w:r>
    </w:p>
    <w:tbl>
      <w:tblPr>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本列数据的勾稽关系为：第一项加第二项之和，等于第三项加第四项之和</w:t>
            </w:r>
          </w:p>
        </w:tc>
        <w:tc>
          <w:tcPr>
            <w:tcW w:w="6865"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自然人</w:t>
            </w:r>
          </w:p>
        </w:tc>
        <w:tc>
          <w:tcPr>
            <w:tcW w:w="510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法人或其他组织</w:t>
            </w:r>
          </w:p>
        </w:tc>
        <w:tc>
          <w:tcPr>
            <w:tcW w:w="70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5" w:hRule="atLeast"/>
        </w:trPr>
        <w:tc>
          <w:tcPr>
            <w:tcW w:w="21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商业</w:t>
            </w:r>
          </w:p>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企业</w:t>
            </w:r>
          </w:p>
        </w:tc>
        <w:tc>
          <w:tcPr>
            <w:tcW w:w="97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科研</w:t>
            </w:r>
          </w:p>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机构</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社会公益组织</w:t>
            </w:r>
          </w:p>
        </w:tc>
        <w:tc>
          <w:tcPr>
            <w:tcW w:w="11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法律服务机构</w:t>
            </w:r>
          </w:p>
        </w:tc>
        <w:tc>
          <w:tcPr>
            <w:tcW w:w="8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asciiTheme="minorHAnsi" w:hAnsiTheme="minorHAnsi" w:eastAsiaTheme="minorEastAsia" w:cstheme="minorBidi"/>
                <w:color w:val="000000"/>
                <w:kern w:val="0"/>
                <w:sz w:val="24"/>
                <w:szCs w:val="24"/>
                <w:bdr w:val="none" w:color="auto" w:sz="0" w:space="0"/>
                <w:lang w:val="en-US" w:eastAsia="zh-CN" w:bidi="ar"/>
              </w:rPr>
              <w:t>其他</w:t>
            </w:r>
          </w:p>
        </w:tc>
        <w:tc>
          <w:tcPr>
            <w:tcW w:w="709"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b/>
                <w:bCs/>
                <w:color w:val="000000"/>
                <w:kern w:val="0"/>
                <w:sz w:val="24"/>
                <w:szCs w:val="24"/>
                <w:bdr w:val="none" w:color="auto" w:sz="0" w:space="0"/>
                <w:lang w:val="en-US" w:eastAsia="zh-CN" w:bidi="ar"/>
              </w:rPr>
              <w:t>一</w:t>
            </w:r>
            <w:r>
              <w:rPr>
                <w:rFonts w:asciiTheme="minorHAnsi" w:hAnsiTheme="minorHAnsi" w:eastAsiaTheme="minorEastAsia" w:cstheme="minorBidi"/>
                <w:color w:val="000000"/>
                <w:kern w:val="0"/>
                <w:sz w:val="24"/>
                <w:szCs w:val="24"/>
                <w:bdr w:val="none" w:color="auto" w:sz="0" w:space="0"/>
                <w:lang w:val="en-US" w:eastAsia="zh-CN" w:bidi="ar"/>
              </w:rPr>
              <w:t>、本年新收政府信息公开申请数量</w:t>
            </w:r>
          </w:p>
        </w:tc>
        <w:tc>
          <w:tcPr>
            <w:tcW w:w="10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b/>
                <w:bCs/>
                <w:color w:val="000000"/>
                <w:kern w:val="0"/>
                <w:sz w:val="24"/>
                <w:szCs w:val="24"/>
                <w:bdr w:val="none" w:color="auto" w:sz="0" w:space="0"/>
                <w:lang w:val="en-US" w:eastAsia="zh-CN" w:bidi="ar"/>
              </w:rPr>
              <w:t>二</w:t>
            </w:r>
            <w:r>
              <w:rPr>
                <w:rFonts w:asciiTheme="minorHAnsi" w:hAnsiTheme="minorHAnsi" w:eastAsiaTheme="minorEastAsia" w:cstheme="minorBidi"/>
                <w:color w:val="000000"/>
                <w:kern w:val="0"/>
                <w:sz w:val="24"/>
                <w:szCs w:val="24"/>
                <w:bdr w:val="none" w:color="auto" w:sz="0" w:space="0"/>
                <w:lang w:val="en-US" w:eastAsia="zh-CN" w:bidi="ar"/>
              </w:rPr>
              <w:t>、上年结转政府信息公开申请数量</w:t>
            </w:r>
          </w:p>
        </w:tc>
        <w:tc>
          <w:tcPr>
            <w:tcW w:w="10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b/>
                <w:bCs/>
                <w:color w:val="000000"/>
                <w:kern w:val="0"/>
                <w:sz w:val="24"/>
                <w:szCs w:val="24"/>
                <w:bdr w:val="none" w:color="auto" w:sz="0" w:space="0"/>
                <w:lang w:val="en-US" w:eastAsia="zh-CN" w:bidi="ar"/>
              </w:rPr>
              <w:t>三</w:t>
            </w:r>
            <w:r>
              <w:rPr>
                <w:rFonts w:asciiTheme="minorHAnsi" w:hAnsiTheme="minorHAnsi" w:eastAsiaTheme="minorEastAsia" w:cstheme="minorBidi"/>
                <w:color w:val="000000"/>
                <w:kern w:val="0"/>
                <w:sz w:val="24"/>
                <w:szCs w:val="24"/>
                <w:bdr w:val="none" w:color="auto" w:sz="0" w:space="0"/>
                <w:lang w:val="en-US" w:eastAsia="zh-CN" w:bidi="ar"/>
              </w:rPr>
              <w:t>、</w:t>
            </w:r>
            <w:r>
              <w:rPr>
                <w:rFonts w:asciiTheme="minorHAnsi" w:hAnsiTheme="minorHAnsi" w:eastAsiaTheme="minorEastAsia" w:cstheme="minorBidi"/>
                <w:kern w:val="0"/>
                <w:sz w:val="24"/>
                <w:szCs w:val="24"/>
                <w:bdr w:val="none" w:color="auto" w:sz="0" w:space="0"/>
                <w:lang w:val="en-US" w:eastAsia="zh-CN" w:bidi="ar"/>
              </w:rPr>
              <w:t>本年度办理结果</w:t>
            </w: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（一）予以公开</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（二）部分公开（区分处理的，只记这一情形，不记其他情形）</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（三）不予公开</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1.属于国家秘密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2.其他法律行政法规禁止公开</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3.危及“三安全一稳定”</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4.保护第三方合法权益</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5.属于三类内部事务信息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6.属于四类过程性信息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7.属于行政执法案卷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8.属于行政查询事项</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（四）无法提供</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1.本机关不掌握相关政府信息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2.没有现成信息需要另行制作</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3.补正后申请内容仍不明确</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（五）不予处理</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1.信访投诉举报类申请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2.重复申请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3.要求提供公开出版物</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4.无正当理由大量反复申请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5.要求行政机关确认或重新出具已获取信息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（六）其他处理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 </w:t>
            </w: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（七）总计</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b/>
                <w:bCs/>
                <w:color w:val="000000"/>
                <w:kern w:val="0"/>
                <w:sz w:val="24"/>
                <w:szCs w:val="24"/>
                <w:bdr w:val="none" w:color="auto" w:sz="0" w:space="0"/>
                <w:lang w:val="en-US" w:eastAsia="zh-CN" w:bidi="ar"/>
              </w:rPr>
              <w:t>四</w:t>
            </w:r>
            <w:r>
              <w:rPr>
                <w:rFonts w:asciiTheme="minorHAnsi" w:hAnsiTheme="minorHAnsi" w:eastAsiaTheme="minorEastAsia" w:cstheme="minorBidi"/>
                <w:color w:val="000000"/>
                <w:kern w:val="0"/>
                <w:sz w:val="24"/>
                <w:szCs w:val="24"/>
                <w:bdr w:val="none" w:color="auto" w:sz="0" w:space="0"/>
                <w:lang w:val="en-US" w:eastAsia="zh-CN" w:bidi="ar"/>
              </w:rPr>
              <w:t>、</w:t>
            </w:r>
            <w:r>
              <w:rPr>
                <w:rFonts w:asciiTheme="minorHAnsi" w:hAnsiTheme="minorHAnsi" w:eastAsiaTheme="minorEastAsia" w:cstheme="minorBidi"/>
                <w:kern w:val="0"/>
                <w:sz w:val="24"/>
                <w:szCs w:val="24"/>
                <w:bdr w:val="none" w:color="auto" w:sz="0" w:space="0"/>
                <w:lang w:val="en-US" w:eastAsia="zh-CN" w:bidi="ar"/>
              </w:rPr>
              <w:t>结转下年度继续办理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bl>
    <w:p>
      <w:pPr>
        <w:keepNext w:val="0"/>
        <w:keepLines w:val="0"/>
        <w:widowControl/>
        <w:suppressLineNumbers w:val="0"/>
        <w:spacing w:before="0" w:beforeAutospacing="1" w:after="0" w:afterAutospacing="1" w:line="540" w:lineRule="exact"/>
        <w:ind w:left="640" w:right="0"/>
        <w:jc w:val="left"/>
      </w:pPr>
      <w:r>
        <w:rPr>
          <w:rFonts w:asciiTheme="minorHAnsi" w:hAnsiTheme="minorHAnsi" w:eastAsiaTheme="minorEastAsia" w:cstheme="minorBidi"/>
          <w:kern w:val="0"/>
          <w:sz w:val="21"/>
          <w:szCs w:val="21"/>
          <w:lang w:val="en-US" w:eastAsia="zh-CN" w:bidi="ar"/>
        </w:rPr>
        <w:t> </w:t>
      </w:r>
    </w:p>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b w:val="0"/>
          <w:bCs w:val="0"/>
          <w:kern w:val="0"/>
          <w:sz w:val="32"/>
          <w:szCs w:val="32"/>
          <w:lang w:val="en-US" w:eastAsia="zh-CN" w:bidi="ar"/>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行政复议</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b/>
                <w:bCs/>
                <w:color w:val="000000"/>
                <w:kern w:val="0"/>
                <w:sz w:val="24"/>
                <w:szCs w:val="24"/>
                <w:bdr w:val="none" w:color="auto" w:sz="0" w:space="0"/>
                <w:lang w:val="en-US" w:eastAsia="zh-CN" w:bidi="ar"/>
              </w:rPr>
              <w:t>（因政府信息公开被行政复议）</w:t>
            </w:r>
          </w:p>
        </w:tc>
        <w:tc>
          <w:tcPr>
            <w:tcW w:w="5680"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行政诉讼</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b/>
                <w:bCs/>
                <w:color w:val="000000"/>
                <w:kern w:val="0"/>
                <w:sz w:val="24"/>
                <w:szCs w:val="24"/>
                <w:bdr w:val="none" w:color="auto" w:sz="0" w:space="0"/>
                <w:lang w:val="en-US" w:eastAsia="zh-CN" w:bidi="ar"/>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结果维护</w:t>
            </w:r>
          </w:p>
        </w:tc>
        <w:tc>
          <w:tcPr>
            <w:tcW w:w="56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color w:val="333333"/>
                <w:kern w:val="0"/>
                <w:sz w:val="24"/>
                <w:szCs w:val="24"/>
                <w:bdr w:val="none" w:color="auto" w:sz="0" w:space="0"/>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总计</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asciiTheme="minorHAnsi" w:hAnsiTheme="minorHAnsi" w:eastAsiaTheme="minorEastAsia" w:cstheme="minorBidi"/>
                <w:kern w:val="0"/>
                <w:sz w:val="24"/>
                <w:szCs w:val="24"/>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56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asciiTheme="minorHAnsi" w:hAnsiTheme="minorHAnsi" w:eastAsiaTheme="minorEastAsia" w:cstheme="minorBidi"/>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asciiTheme="minorHAnsi" w:hAnsiTheme="minorHAnsi" w:eastAsiaTheme="minorEastAsia" w:cstheme="minorBidi"/>
          <w:i w:val="0"/>
          <w:iCs w:val="0"/>
          <w:caps w:val="0"/>
          <w:color w:val="333333"/>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b w:val="0"/>
          <w:bCs w:val="0"/>
          <w:i w:val="0"/>
          <w:iCs w:val="0"/>
          <w:caps w:val="0"/>
          <w:color w:val="333333"/>
          <w:spacing w:val="0"/>
          <w:sz w:val="32"/>
          <w:szCs w:val="32"/>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pPr>
      <w:r>
        <w:rPr>
          <w:i w:val="0"/>
          <w:iCs w:val="0"/>
          <w:caps w:val="0"/>
          <w:color w:val="333333"/>
          <w:spacing w:val="0"/>
          <w:sz w:val="32"/>
          <w:szCs w:val="32"/>
          <w:bdr w:val="none" w:color="auto" w:sz="0" w:space="0"/>
          <w:shd w:val="clear" w:fill="FFFFFF"/>
        </w:rPr>
        <w:t>我局政府信息公开工作虽然取得一定成绩，逐步实现常态化、规范化管理，但仍存在一些问题和不足。主要表现在政务信息公开工作人员工作能力有待进一步提高，信息公开质量有待进一步加强。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pPr>
      <w:r>
        <w:rPr>
          <w:i w:val="0"/>
          <w:iCs w:val="0"/>
          <w:caps w:val="0"/>
          <w:color w:val="333333"/>
          <w:spacing w:val="0"/>
          <w:sz w:val="32"/>
          <w:szCs w:val="32"/>
          <w:bdr w:val="none" w:color="auto" w:sz="0" w:space="0"/>
          <w:shd w:val="clear" w:fill="FFFFFF"/>
        </w:rPr>
        <w:t>针对信息公开工作存在的问题，一是进一步强化组织领导。明确职责分工，完善工作制度，切实提高信息公开意识，不断创新工作方式方法，突出重点，注重实效。二是进一步加大信息公开工作力度。认真贯彻落实文件精神，提高业务能力，提升更新频率，拓宽信息公开范围，确保动态信息及时、有效、快速地面向社会和百姓公开。三是加强政务信息公开工作人员业务培训，借鉴学习其他兄弟单位好的经验做法，及时总结好的经验做法，不断提高全局政务公开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b w:val="0"/>
          <w:bCs w:val="0"/>
          <w:i w:val="0"/>
          <w:iCs w:val="0"/>
          <w:caps w:val="0"/>
          <w:color w:val="333333"/>
          <w:spacing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sz w:val="32"/>
          <w:szCs w:val="32"/>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D743F"/>
    <w:rsid w:val="09CD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2021-04-28T03:35:00Z</dcterms:created>
  <dc:creator>Administrator</dc:creator>
  <cp:lastModifiedBy>Administrator</cp:lastModifiedBy>
  <dcterms:modified xsi:type="dcterms:W3CDTF">2021-04-28T03:35:48Z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DEC66731A9CD4AD1AC27675FE3BEAF6C</vt:lpwstr>
  </property>
</Properties>
</file>