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ind w:firstLine="643" w:firstLineChars="200"/>
        <w:jc w:val="both"/>
        <w:rPr>
          <w:rFonts w:ascii="Times New Roman" w:hAnsi="Times New Roman" w:eastAsia="仿宋_GB2312"/>
          <w:color w:val="000000"/>
          <w:kern w:val="32"/>
          <w:sz w:val="32"/>
          <w:szCs w:val="32"/>
        </w:rPr>
      </w:pPr>
      <w:bookmarkStart w:id="0" w:name="_GoBack"/>
      <w:bookmarkEnd w:id="0"/>
    </w:p>
    <w:p>
      <w:pPr>
        <w:pStyle w:val="2"/>
        <w:spacing w:beforeAutospacing="0" w:afterAutospacing="0" w:line="560" w:lineRule="exact"/>
        <w:jc w:val="center"/>
        <w:rPr>
          <w:rFonts w:ascii="方正小标宋简体" w:hAnsi="Times New Roman" w:eastAsia="方正小标宋简体"/>
          <w:b w:val="0"/>
          <w:color w:val="000000"/>
          <w:kern w:val="32"/>
          <w:sz w:val="44"/>
          <w:szCs w:val="44"/>
          <w:shd w:val="clear" w:color="auto" w:fill="FFFFFF"/>
        </w:rPr>
      </w:pPr>
      <w:r>
        <w:rPr>
          <w:rFonts w:hint="eastAsia" w:ascii="方正小标宋简体" w:hAnsi="Times New Roman" w:eastAsia="方正小标宋简体"/>
          <w:b w:val="0"/>
          <w:color w:val="000000"/>
          <w:kern w:val="32"/>
          <w:sz w:val="44"/>
          <w:szCs w:val="44"/>
        </w:rPr>
        <w:t>上高县</w:t>
      </w:r>
      <w:r>
        <w:rPr>
          <w:rFonts w:hint="eastAsia" w:ascii="方正小标宋简体" w:hAnsi="Times New Roman" w:eastAsia="方正小标宋简体"/>
          <w:b w:val="0"/>
          <w:color w:val="000000"/>
          <w:kern w:val="32"/>
          <w:sz w:val="44"/>
          <w:szCs w:val="44"/>
          <w:lang w:val="en-US" w:eastAsia="zh-CN"/>
        </w:rPr>
        <w:t>水利局</w:t>
      </w:r>
      <w:r>
        <w:rPr>
          <w:rFonts w:ascii="方正小标宋简体" w:hAnsi="Times New Roman" w:eastAsia="方正小标宋简体"/>
          <w:b w:val="0"/>
          <w:color w:val="000000"/>
          <w:kern w:val="32"/>
          <w:sz w:val="44"/>
          <w:szCs w:val="44"/>
        </w:rPr>
        <w:t>202</w:t>
      </w:r>
      <w:r>
        <w:rPr>
          <w:rFonts w:hint="eastAsia" w:ascii="方正小标宋简体" w:hAnsi="Times New Roman" w:eastAsia="方正小标宋简体"/>
          <w:b w:val="0"/>
          <w:color w:val="000000"/>
          <w:kern w:val="32"/>
          <w:sz w:val="44"/>
          <w:szCs w:val="44"/>
          <w:lang w:val="en-US" w:eastAsia="zh-CN"/>
        </w:rPr>
        <w:t>2</w:t>
      </w:r>
      <w:r>
        <w:rPr>
          <w:rFonts w:hint="eastAsia" w:ascii="方正小标宋简体" w:hAnsi="Times New Roman" w:eastAsia="方正小标宋简体"/>
          <w:b w:val="0"/>
          <w:color w:val="000000"/>
          <w:kern w:val="32"/>
          <w:sz w:val="44"/>
          <w:szCs w:val="44"/>
        </w:rPr>
        <w:t>年信息公开工作年度报告</w:t>
      </w:r>
    </w:p>
    <w:p>
      <w:pPr>
        <w:pStyle w:val="5"/>
        <w:shd w:val="clear" w:color="auto" w:fill="FFFFFF"/>
        <w:spacing w:beforeAutospacing="0" w:afterAutospacing="0" w:line="560" w:lineRule="exact"/>
        <w:jc w:val="both"/>
        <w:rPr>
          <w:rFonts w:ascii="Times New Roman" w:hAnsi="Times New Roman" w:eastAsia="仿宋_GB2312"/>
          <w:color w:val="000000"/>
          <w:kern w:val="32"/>
          <w:sz w:val="32"/>
          <w:szCs w:val="32"/>
        </w:rPr>
      </w:pPr>
    </w:p>
    <w:p>
      <w:pPr>
        <w:pStyle w:val="5"/>
        <w:shd w:val="clear" w:color="auto" w:fill="FFFFFF"/>
        <w:spacing w:beforeAutospacing="0" w:afterAutospacing="0" w:line="560" w:lineRule="exact"/>
        <w:ind w:firstLine="640" w:firstLineChars="200"/>
        <w:jc w:val="both"/>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根据《中华人民共和国政府信息公开条例》（以下简称《条例》）</w:t>
      </w:r>
      <w:r>
        <w:rPr>
          <w:rFonts w:hint="eastAsia" w:ascii="Times New Roman" w:hAnsi="Times New Roman" w:eastAsia="仿宋_GB2312"/>
          <w:color w:val="000000"/>
          <w:kern w:val="32"/>
          <w:sz w:val="32"/>
          <w:szCs w:val="32"/>
          <w:lang w:val="en-US" w:eastAsia="zh-CN"/>
        </w:rPr>
        <w:t>和</w:t>
      </w:r>
      <w:r>
        <w:rPr>
          <w:rFonts w:hint="eastAsia" w:ascii="Times New Roman" w:hAnsi="Times New Roman" w:eastAsia="仿宋_GB2312"/>
          <w:color w:val="000000"/>
          <w:kern w:val="32"/>
          <w:sz w:val="32"/>
          <w:szCs w:val="32"/>
        </w:rPr>
        <w:t>《国务院办公厅</w:t>
      </w:r>
      <w:r>
        <w:rPr>
          <w:rFonts w:hint="eastAsia" w:ascii="Times New Roman" w:hAnsi="Times New Roman" w:eastAsia="仿宋_GB2312"/>
          <w:color w:val="000000"/>
          <w:kern w:val="32"/>
          <w:sz w:val="32"/>
          <w:szCs w:val="32"/>
          <w:lang w:val="en-US" w:eastAsia="zh-CN"/>
        </w:rPr>
        <w:t>关于印发政府网站发展指引的通知》、国务院办公厅</w:t>
      </w:r>
      <w:r>
        <w:rPr>
          <w:rFonts w:hint="eastAsia" w:ascii="Times New Roman" w:hAnsi="Times New Roman" w:eastAsia="仿宋_GB2312"/>
          <w:color w:val="000000"/>
          <w:kern w:val="32"/>
          <w:sz w:val="32"/>
          <w:szCs w:val="32"/>
        </w:rPr>
        <w:t>政府信息与政务公开办公室国办公开办函〔</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w:t>
      </w:r>
      <w:r>
        <w:rPr>
          <w:rFonts w:ascii="Times New Roman" w:hAnsi="Times New Roman" w:eastAsia="仿宋_GB2312"/>
          <w:color w:val="000000"/>
          <w:kern w:val="32"/>
          <w:sz w:val="32"/>
          <w:szCs w:val="32"/>
        </w:rPr>
        <w:t>30</w:t>
      </w:r>
      <w:r>
        <w:rPr>
          <w:rFonts w:hint="eastAsia" w:ascii="Times New Roman" w:hAnsi="Times New Roman" w:eastAsia="仿宋_GB2312"/>
          <w:color w:val="000000"/>
          <w:kern w:val="32"/>
          <w:sz w:val="32"/>
          <w:szCs w:val="32"/>
        </w:rPr>
        <w:t>号</w:t>
      </w:r>
      <w:r>
        <w:rPr>
          <w:rFonts w:hint="eastAsia" w:ascii="Times New Roman" w:hAnsi="Times New Roman" w:eastAsia="仿宋_GB2312"/>
          <w:color w:val="000000"/>
          <w:kern w:val="32"/>
          <w:sz w:val="32"/>
          <w:szCs w:val="32"/>
          <w:lang w:val="en-US" w:eastAsia="zh-CN"/>
        </w:rPr>
        <w:t>等文件</w:t>
      </w:r>
      <w:r>
        <w:rPr>
          <w:rFonts w:hint="eastAsia" w:ascii="Times New Roman" w:hAnsi="Times New Roman" w:eastAsia="仿宋_GB2312"/>
          <w:color w:val="000000"/>
          <w:kern w:val="32"/>
          <w:sz w:val="32"/>
          <w:szCs w:val="32"/>
        </w:rPr>
        <w:t>要求编制本报告。报告中所列数据统计期限从</w:t>
      </w:r>
      <w:r>
        <w:rPr>
          <w:rFonts w:ascii="Times New Roman" w:hAnsi="Times New Roman" w:eastAsia="仿宋_GB2312"/>
          <w:color w:val="000000"/>
          <w:kern w:val="32"/>
          <w:sz w:val="32"/>
          <w:szCs w:val="32"/>
        </w:rPr>
        <w:t>202</w:t>
      </w:r>
      <w:r>
        <w:rPr>
          <w:rFonts w:hint="eastAsia" w:ascii="Times New Roman" w:hAnsi="Times New Roman" w:eastAsia="仿宋_GB2312"/>
          <w:color w:val="000000"/>
          <w:kern w:val="32"/>
          <w:sz w:val="32"/>
          <w:szCs w:val="32"/>
          <w:lang w:val="en-US" w:eastAsia="zh-CN"/>
        </w:rPr>
        <w:t>2</w:t>
      </w:r>
      <w:r>
        <w:rPr>
          <w:rFonts w:hint="eastAsia" w:ascii="Times New Roman" w:hAnsi="Times New Roman" w:eastAsia="仿宋_GB2312"/>
          <w:color w:val="000000"/>
          <w:kern w:val="32"/>
          <w:sz w:val="32"/>
          <w:szCs w:val="32"/>
        </w:rPr>
        <w:t>年</w:t>
      </w:r>
      <w:r>
        <w:rPr>
          <w:rFonts w:ascii="Times New Roman" w:hAnsi="Times New Roman" w:eastAsia="仿宋_GB2312"/>
          <w:color w:val="000000"/>
          <w:kern w:val="32"/>
          <w:sz w:val="32"/>
          <w:szCs w:val="32"/>
        </w:rPr>
        <w:t>1</w:t>
      </w:r>
      <w:r>
        <w:rPr>
          <w:rFonts w:hint="eastAsia" w:ascii="Times New Roman" w:hAnsi="Times New Roman" w:eastAsia="仿宋_GB2312"/>
          <w:color w:val="000000"/>
          <w:kern w:val="32"/>
          <w:sz w:val="32"/>
          <w:szCs w:val="32"/>
        </w:rPr>
        <w:t>月</w:t>
      </w:r>
      <w:r>
        <w:rPr>
          <w:rFonts w:ascii="Times New Roman" w:hAnsi="Times New Roman" w:eastAsia="仿宋_GB2312"/>
          <w:color w:val="000000"/>
          <w:kern w:val="32"/>
          <w:sz w:val="32"/>
          <w:szCs w:val="32"/>
        </w:rPr>
        <w:t>1</w:t>
      </w:r>
      <w:r>
        <w:rPr>
          <w:rFonts w:hint="eastAsia" w:ascii="Times New Roman" w:hAnsi="Times New Roman" w:eastAsia="仿宋_GB2312"/>
          <w:color w:val="000000"/>
          <w:kern w:val="32"/>
          <w:sz w:val="32"/>
          <w:szCs w:val="32"/>
        </w:rPr>
        <w:t>日到</w:t>
      </w:r>
      <w:r>
        <w:rPr>
          <w:rFonts w:hint="eastAsia" w:ascii="Times New Roman" w:hAnsi="Times New Roman" w:eastAsia="仿宋_GB2312"/>
          <w:color w:val="000000"/>
          <w:kern w:val="32"/>
          <w:sz w:val="32"/>
          <w:szCs w:val="32"/>
          <w:lang w:val="en-US" w:eastAsia="zh-CN"/>
        </w:rPr>
        <w:t>2022年</w:t>
      </w:r>
      <w:r>
        <w:rPr>
          <w:rFonts w:ascii="Times New Roman" w:hAnsi="Times New Roman" w:eastAsia="仿宋_GB2312"/>
          <w:color w:val="000000"/>
          <w:kern w:val="32"/>
          <w:sz w:val="32"/>
          <w:szCs w:val="32"/>
        </w:rPr>
        <w:t>12</w:t>
      </w:r>
      <w:r>
        <w:rPr>
          <w:rFonts w:hint="eastAsia" w:ascii="Times New Roman" w:hAnsi="Times New Roman" w:eastAsia="仿宋_GB2312"/>
          <w:color w:val="000000"/>
          <w:kern w:val="32"/>
          <w:sz w:val="32"/>
          <w:szCs w:val="32"/>
        </w:rPr>
        <w:t>月</w:t>
      </w:r>
      <w:r>
        <w:rPr>
          <w:rFonts w:ascii="Times New Roman" w:hAnsi="Times New Roman" w:eastAsia="仿宋_GB2312"/>
          <w:color w:val="000000"/>
          <w:kern w:val="32"/>
          <w:sz w:val="32"/>
          <w:szCs w:val="32"/>
        </w:rPr>
        <w:t>31</w:t>
      </w:r>
      <w:r>
        <w:rPr>
          <w:rFonts w:hint="eastAsia" w:ascii="Times New Roman" w:hAnsi="Times New Roman" w:eastAsia="仿宋_GB2312"/>
          <w:color w:val="000000"/>
          <w:kern w:val="32"/>
          <w:sz w:val="32"/>
          <w:szCs w:val="32"/>
        </w:rPr>
        <w:t>日止。</w:t>
      </w:r>
    </w:p>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rPr>
      </w:pPr>
      <w:r>
        <w:rPr>
          <w:rFonts w:hint="eastAsia" w:ascii="黑体" w:hAnsi="黑体" w:eastAsia="黑体"/>
          <w:bCs/>
          <w:color w:val="000000"/>
          <w:kern w:val="32"/>
          <w:sz w:val="32"/>
          <w:szCs w:val="32"/>
          <w:shd w:val="clear" w:color="auto" w:fill="FFFFFF"/>
        </w:rPr>
        <w:t>一、总体情况</w:t>
      </w:r>
    </w:p>
    <w:p>
      <w:pPr>
        <w:pStyle w:val="5"/>
        <w:shd w:val="clear" w:color="auto" w:fill="FFFFFF"/>
        <w:spacing w:beforeAutospacing="0" w:afterAutospacing="0" w:line="560" w:lineRule="exact"/>
        <w:ind w:firstLine="640" w:firstLineChars="200"/>
        <w:jc w:val="both"/>
        <w:rPr>
          <w:rFonts w:hint="default"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2022年，上高县水利局坚持</w:t>
      </w:r>
      <w:r>
        <w:rPr>
          <w:rFonts w:hint="eastAsia" w:ascii="Times New Roman" w:hAnsi="Times New Roman" w:eastAsia="仿宋_GB2312"/>
          <w:color w:val="000000"/>
          <w:kern w:val="32"/>
          <w:sz w:val="32"/>
          <w:szCs w:val="32"/>
        </w:rPr>
        <w:t>以习近平新时代中国特色社会主义思想为指导，</w:t>
      </w:r>
      <w:r>
        <w:rPr>
          <w:rFonts w:hint="eastAsia" w:ascii="Times New Roman" w:hAnsi="Times New Roman" w:eastAsia="仿宋_GB2312"/>
          <w:color w:val="000000"/>
          <w:kern w:val="32"/>
          <w:sz w:val="32"/>
          <w:szCs w:val="32"/>
          <w:lang w:val="en-US" w:eastAsia="zh-CN"/>
        </w:rPr>
        <w:t>认真贯彻落实国家、省、市关于全面推进政务公开工作的重要部署，围绕县委、县政府中心工作和人民群众所需所盼，高质量推进政府信息公开工作，取得新的成效。</w:t>
      </w:r>
    </w:p>
    <w:p>
      <w:pPr>
        <w:pStyle w:val="5"/>
        <w:numPr>
          <w:ilvl w:val="0"/>
          <w:numId w:val="1"/>
        </w:numPr>
        <w:shd w:val="clear" w:color="auto" w:fill="FFFFFF"/>
        <w:spacing w:beforeAutospacing="0" w:afterAutospacing="0" w:line="560" w:lineRule="exact"/>
        <w:ind w:firstLine="643" w:firstLineChars="200"/>
        <w:jc w:val="both"/>
        <w:rPr>
          <w:rFonts w:hint="eastAsia" w:ascii="Times New Roman" w:hAnsi="Times New Roman" w:eastAsia="楷体_GB2312"/>
          <w:b w:val="0"/>
          <w:bCs w:val="0"/>
          <w:color w:val="000000"/>
          <w:kern w:val="32"/>
          <w:sz w:val="32"/>
          <w:szCs w:val="32"/>
          <w:lang w:val="en-US" w:eastAsia="zh-CN"/>
        </w:rPr>
      </w:pPr>
      <w:r>
        <w:rPr>
          <w:rFonts w:hint="eastAsia" w:ascii="Times New Roman" w:hAnsi="Times New Roman" w:eastAsia="楷体_GB2312"/>
          <w:b/>
          <w:bCs/>
          <w:color w:val="000000"/>
          <w:kern w:val="32"/>
          <w:sz w:val="32"/>
          <w:szCs w:val="32"/>
        </w:rPr>
        <w:t>主动公开</w:t>
      </w:r>
      <w:r>
        <w:rPr>
          <w:rFonts w:hint="eastAsia" w:ascii="Times New Roman" w:hAnsi="Times New Roman" w:eastAsia="楷体_GB2312"/>
          <w:b/>
          <w:bCs/>
          <w:color w:val="000000"/>
          <w:kern w:val="32"/>
          <w:sz w:val="32"/>
          <w:szCs w:val="32"/>
          <w:lang w:val="en-US" w:eastAsia="zh-CN"/>
        </w:rPr>
        <w:t>。</w:t>
      </w:r>
    </w:p>
    <w:p>
      <w:pPr>
        <w:pStyle w:val="5"/>
        <w:shd w:val="clear" w:color="auto" w:fill="FFFFFF"/>
        <w:spacing w:beforeAutospacing="0" w:afterAutospacing="0" w:line="560" w:lineRule="exact"/>
        <w:ind w:firstLine="640" w:firstLineChars="200"/>
        <w:jc w:val="both"/>
        <w:rPr>
          <w:rFonts w:hint="eastAsia"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 xml:space="preserve">2022年，我局重新梳理了主动公开服务事项，公开信息总数为43条，主要是机构简介、发展规划、工作动态、重点领域、财政信息、信息公开年度报告等内容。可通过上高县人民政府门户网站的“政府信息公开”栏目查询我单位主动公开的2022年政府信息。 </w:t>
      </w:r>
    </w:p>
    <w:p>
      <w:pPr>
        <w:pStyle w:val="5"/>
        <w:numPr>
          <w:ilvl w:val="0"/>
          <w:numId w:val="1"/>
        </w:numPr>
        <w:shd w:val="clear" w:color="auto" w:fill="FFFFFF"/>
        <w:spacing w:beforeAutospacing="0" w:afterAutospacing="0" w:line="560" w:lineRule="exact"/>
        <w:ind w:firstLine="643" w:firstLineChars="200"/>
        <w:jc w:val="both"/>
        <w:rPr>
          <w:rFonts w:hint="eastAsia" w:ascii="Times New Roman" w:hAnsi="Times New Roman" w:eastAsia="楷体_GB2312"/>
          <w:b w:val="0"/>
          <w:bCs w:val="0"/>
          <w:color w:val="000000"/>
          <w:kern w:val="32"/>
          <w:sz w:val="32"/>
          <w:szCs w:val="32"/>
          <w:lang w:val="en-US" w:eastAsia="zh-CN"/>
        </w:rPr>
      </w:pPr>
      <w:r>
        <w:rPr>
          <w:rFonts w:hint="eastAsia" w:ascii="Times New Roman" w:hAnsi="Times New Roman" w:eastAsia="楷体_GB2312"/>
          <w:b/>
          <w:bCs/>
          <w:color w:val="000000"/>
          <w:kern w:val="32"/>
          <w:sz w:val="32"/>
          <w:szCs w:val="32"/>
        </w:rPr>
        <w:t>依申请公开</w:t>
      </w:r>
      <w:r>
        <w:rPr>
          <w:rFonts w:hint="eastAsia" w:ascii="Times New Roman" w:hAnsi="Times New Roman" w:eastAsia="楷体_GB2312"/>
          <w:b/>
          <w:bCs/>
          <w:color w:val="000000"/>
          <w:kern w:val="32"/>
          <w:sz w:val="32"/>
          <w:szCs w:val="32"/>
          <w:lang w:val="en-US" w:eastAsia="zh-CN"/>
        </w:rPr>
        <w:t>。</w:t>
      </w:r>
    </w:p>
    <w:p>
      <w:pPr>
        <w:pStyle w:val="5"/>
        <w:numPr>
          <w:numId w:val="0"/>
        </w:numPr>
        <w:shd w:val="clear" w:color="auto" w:fill="FFFFFF"/>
        <w:spacing w:beforeAutospacing="0" w:afterAutospacing="0" w:line="560" w:lineRule="exact"/>
        <w:ind w:firstLine="640" w:firstLineChars="200"/>
        <w:jc w:val="both"/>
        <w:rPr>
          <w:rFonts w:hint="default" w:ascii="Times New Roman" w:hAnsi="Times New Roman" w:eastAsia="楷体_GB2312"/>
          <w:b w:val="0"/>
          <w:bCs w:val="0"/>
          <w:color w:val="000000"/>
          <w:kern w:val="32"/>
          <w:sz w:val="32"/>
          <w:szCs w:val="32"/>
          <w:lang w:val="en-US" w:eastAsia="zh-CN"/>
        </w:rPr>
      </w:pPr>
      <w:r>
        <w:rPr>
          <w:rFonts w:hint="eastAsia" w:ascii="Times New Roman" w:hAnsi="Times New Roman" w:eastAsia="楷体_GB2312"/>
          <w:b w:val="0"/>
          <w:bCs w:val="0"/>
          <w:color w:val="000000"/>
          <w:kern w:val="32"/>
          <w:sz w:val="32"/>
          <w:szCs w:val="32"/>
          <w:lang w:val="en-US" w:eastAsia="zh-CN"/>
        </w:rPr>
        <w:t>2022年，我局共收到依申请公开1条，申请公开上高县东方星城小区自来水水管及配件材质审查意见和验收备案手续。经审查，本部门不掌握相关信息，及时告知了申请人。</w:t>
      </w:r>
    </w:p>
    <w:p>
      <w:pPr>
        <w:pStyle w:val="5"/>
        <w:numPr>
          <w:ilvl w:val="0"/>
          <w:numId w:val="1"/>
        </w:numPr>
        <w:shd w:val="clear" w:color="auto" w:fill="FFFFFF"/>
        <w:spacing w:beforeAutospacing="0" w:afterAutospacing="0" w:line="560" w:lineRule="exact"/>
        <w:ind w:firstLine="643" w:firstLineChars="200"/>
        <w:jc w:val="both"/>
        <w:rPr>
          <w:rFonts w:hint="eastAsia" w:ascii="Times New Roman" w:hAnsi="Times New Roman" w:eastAsia="楷体_GB2312"/>
          <w:b w:val="0"/>
          <w:bCs w:val="0"/>
          <w:color w:val="000000"/>
          <w:kern w:val="32"/>
          <w:sz w:val="32"/>
          <w:szCs w:val="32"/>
          <w:lang w:val="en-US" w:eastAsia="zh-CN"/>
        </w:rPr>
      </w:pPr>
      <w:r>
        <w:rPr>
          <w:rFonts w:hint="eastAsia" w:ascii="Times New Roman" w:hAnsi="Times New Roman" w:eastAsia="楷体_GB2312"/>
          <w:b/>
          <w:bCs/>
          <w:color w:val="000000"/>
          <w:kern w:val="32"/>
          <w:sz w:val="32"/>
          <w:szCs w:val="32"/>
        </w:rPr>
        <w:t>政府信息管理</w:t>
      </w:r>
      <w:r>
        <w:rPr>
          <w:rFonts w:hint="eastAsia" w:ascii="Times New Roman" w:hAnsi="Times New Roman" w:eastAsia="楷体_GB2312"/>
          <w:b/>
          <w:bCs/>
          <w:color w:val="000000"/>
          <w:kern w:val="32"/>
          <w:sz w:val="32"/>
          <w:szCs w:val="32"/>
          <w:lang w:val="en-US" w:eastAsia="zh-CN"/>
        </w:rPr>
        <w:t>。</w:t>
      </w:r>
    </w:p>
    <w:p>
      <w:pPr>
        <w:pStyle w:val="5"/>
        <w:shd w:val="clear" w:color="auto" w:fill="FFFFFF"/>
        <w:spacing w:beforeAutospacing="0" w:afterAutospacing="0" w:line="560" w:lineRule="exact"/>
        <w:ind w:firstLine="640" w:firstLineChars="200"/>
        <w:jc w:val="both"/>
        <w:rPr>
          <w:rFonts w:hint="eastAsia"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 xml:space="preserve">规范化标准化建设。坚持政务公开一把手负责制，局长任政务公开领导小组组长，分管领导为副组长，各股室负责人为成员，办公室主任兼任领导小组办公室主任。具体工作由办公室牵头组织，并确定具体负责人。各股室负责具体落实，建立了齐抓共管、狠抓落实的政务公开工作领导格局。  </w:t>
      </w:r>
    </w:p>
    <w:p>
      <w:pPr>
        <w:pStyle w:val="5"/>
        <w:shd w:val="clear" w:color="auto" w:fill="FFFFFF"/>
        <w:spacing w:beforeAutospacing="0" w:afterAutospacing="0" w:line="560" w:lineRule="exact"/>
        <w:ind w:firstLine="640" w:firstLineChars="200"/>
        <w:jc w:val="both"/>
        <w:rPr>
          <w:rFonts w:hint="eastAsia"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2.数字化管理。根据内容等分门别类及时录入信息，定期或不定期公开，加大数据公开力度。</w:t>
      </w:r>
    </w:p>
    <w:p>
      <w:pPr>
        <w:pStyle w:val="5"/>
        <w:shd w:val="clear" w:color="auto" w:fill="FFFFFF"/>
        <w:spacing w:beforeAutospacing="0" w:afterAutospacing="0" w:line="560" w:lineRule="exact"/>
        <w:ind w:firstLine="640" w:firstLineChars="200"/>
        <w:jc w:val="both"/>
        <w:rPr>
          <w:rFonts w:hint="default"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3.规范信息审核发布机制。把主动公开政府信息作为工作重点，采取多种形式及时把社会关注的热点、焦点内容予以公开，积极打造阳光政务。把行政行为始终置于社会各界的监督之下，促进依法行政、科学行政、高效行政。</w:t>
      </w:r>
    </w:p>
    <w:p>
      <w:pPr>
        <w:pStyle w:val="5"/>
        <w:shd w:val="clear" w:color="auto" w:fill="FFFFFF"/>
        <w:spacing w:beforeAutospacing="0" w:afterAutospacing="0" w:line="560" w:lineRule="exact"/>
        <w:ind w:firstLine="640" w:firstLineChars="200"/>
        <w:jc w:val="both"/>
        <w:rPr>
          <w:rFonts w:hint="default" w:ascii="宋体" w:hAnsi="宋体" w:eastAsia="宋体" w:cs="宋体"/>
          <w:i w:val="0"/>
          <w:caps w:val="0"/>
          <w:color w:val="333333"/>
          <w:spacing w:val="0"/>
          <w:sz w:val="32"/>
          <w:szCs w:val="32"/>
          <w:shd w:val="clear" w:color="auto" w:fill="FFFFFF"/>
          <w:lang w:val="en-US" w:eastAsia="zh-CN"/>
        </w:rPr>
      </w:pPr>
      <w:r>
        <w:rPr>
          <w:rFonts w:hint="eastAsia" w:ascii="Times New Roman" w:hAnsi="Times New Roman" w:eastAsia="仿宋_GB2312"/>
          <w:color w:val="000000"/>
          <w:kern w:val="32"/>
          <w:sz w:val="32"/>
          <w:szCs w:val="32"/>
          <w:lang w:val="en-US" w:eastAsia="zh-CN"/>
        </w:rPr>
        <w:t>4.规范性文件清理。2022年我局未发布规范性文件。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3" w:firstLineChars="200"/>
        <w:jc w:val="both"/>
        <w:rPr>
          <w:rFonts w:hint="eastAsia" w:ascii="Times New Roman" w:hAnsi="Times New Roman" w:eastAsia="楷体_GB2312"/>
          <w:b/>
          <w:bCs/>
          <w:color w:val="000000"/>
          <w:kern w:val="32"/>
          <w:sz w:val="32"/>
          <w:szCs w:val="32"/>
          <w:lang w:val="en-US" w:eastAsia="zh-CN"/>
        </w:rPr>
      </w:pPr>
      <w:r>
        <w:rPr>
          <w:rFonts w:hint="eastAsia" w:ascii="Times New Roman" w:hAnsi="Times New Roman" w:eastAsia="楷体_GB2312"/>
          <w:b/>
          <w:bCs/>
          <w:color w:val="000000"/>
          <w:kern w:val="32"/>
          <w:sz w:val="32"/>
          <w:szCs w:val="32"/>
          <w:lang w:val="en-US" w:eastAsia="zh-CN"/>
        </w:rPr>
        <w:t>（四）政府信息公开</w:t>
      </w:r>
      <w:r>
        <w:rPr>
          <w:rFonts w:hint="eastAsia" w:ascii="Times New Roman" w:hAnsi="Times New Roman" w:eastAsia="楷体_GB2312"/>
          <w:b/>
          <w:bCs/>
          <w:color w:val="000000"/>
          <w:kern w:val="32"/>
          <w:sz w:val="32"/>
          <w:szCs w:val="32"/>
        </w:rPr>
        <w:t>平台建设</w:t>
      </w:r>
      <w:r>
        <w:rPr>
          <w:rFonts w:hint="eastAsia" w:ascii="Times New Roman" w:hAnsi="Times New Roman" w:eastAsia="楷体_GB2312"/>
          <w:b/>
          <w:bCs/>
          <w:color w:val="000000"/>
          <w:kern w:val="32"/>
          <w:sz w:val="32"/>
          <w:szCs w:val="32"/>
          <w:lang w:val="en-US" w:eastAsia="zh-CN"/>
        </w:rPr>
        <w:t>。</w:t>
      </w:r>
    </w:p>
    <w:p>
      <w:pPr>
        <w:pStyle w:val="5"/>
        <w:numPr>
          <w:numId w:val="0"/>
        </w:numPr>
        <w:shd w:val="clear" w:color="auto" w:fill="FFFFFF"/>
        <w:spacing w:beforeAutospacing="0" w:afterAutospacing="0" w:line="560" w:lineRule="exact"/>
        <w:ind w:firstLine="960" w:firstLineChars="300"/>
        <w:jc w:val="both"/>
        <w:rPr>
          <w:rFonts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依托</w:t>
      </w:r>
      <w:r>
        <w:rPr>
          <w:rFonts w:hint="eastAsia" w:ascii="仿宋_GB2312" w:hAnsi="宋体" w:eastAsia="仿宋_GB2312" w:cs="仿宋_GB2312"/>
          <w:i w:val="0"/>
          <w:iCs w:val="0"/>
          <w:caps w:val="0"/>
          <w:color w:val="000000"/>
          <w:spacing w:val="0"/>
          <w:sz w:val="32"/>
          <w:szCs w:val="32"/>
          <w:shd w:val="clear" w:fill="FFFFFF"/>
          <w:lang w:val="en-US" w:eastAsia="zh-CN"/>
        </w:rPr>
        <w:t>县</w:t>
      </w:r>
      <w:r>
        <w:rPr>
          <w:rFonts w:ascii="仿宋_GB2312" w:hAnsi="宋体" w:eastAsia="仿宋_GB2312" w:cs="仿宋_GB2312"/>
          <w:i w:val="0"/>
          <w:iCs w:val="0"/>
          <w:caps w:val="0"/>
          <w:color w:val="000000"/>
          <w:spacing w:val="0"/>
          <w:sz w:val="32"/>
          <w:szCs w:val="32"/>
          <w:shd w:val="clear" w:fill="FFFFFF"/>
        </w:rPr>
        <w:t>政府网站开展政府信息公开工作，更新完善公开制度、公开指南等内容，确保政务信息公开及时、准确、便民。</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200" w:right="0" w:rightChars="0" w:firstLine="321" w:firstLineChars="100"/>
        <w:jc w:val="both"/>
        <w:rPr>
          <w:rFonts w:hint="eastAsia" w:ascii="Times New Roman" w:hAnsi="Times New Roman" w:eastAsia="楷体_GB2312"/>
          <w:b/>
          <w:bCs/>
          <w:color w:val="000000"/>
          <w:kern w:val="32"/>
          <w:sz w:val="32"/>
          <w:szCs w:val="32"/>
          <w:lang w:val="en-US" w:eastAsia="zh-CN"/>
        </w:rPr>
      </w:pPr>
      <w:r>
        <w:rPr>
          <w:rFonts w:hint="eastAsia" w:ascii="Times New Roman" w:hAnsi="Times New Roman" w:eastAsia="楷体_GB2312"/>
          <w:b/>
          <w:bCs/>
          <w:color w:val="000000"/>
          <w:kern w:val="32"/>
          <w:sz w:val="32"/>
          <w:szCs w:val="32"/>
          <w:lang w:eastAsia="zh-CN"/>
        </w:rPr>
        <w:t>（</w:t>
      </w:r>
      <w:r>
        <w:rPr>
          <w:rFonts w:hint="eastAsia" w:ascii="Times New Roman" w:hAnsi="Times New Roman" w:eastAsia="楷体_GB2312"/>
          <w:b/>
          <w:bCs/>
          <w:color w:val="000000"/>
          <w:kern w:val="32"/>
          <w:sz w:val="32"/>
          <w:szCs w:val="32"/>
          <w:lang w:val="en-US" w:eastAsia="zh-CN"/>
        </w:rPr>
        <w:t>五</w:t>
      </w:r>
      <w:r>
        <w:rPr>
          <w:rFonts w:hint="eastAsia" w:ascii="Times New Roman" w:hAnsi="Times New Roman" w:eastAsia="楷体_GB2312"/>
          <w:b/>
          <w:bCs/>
          <w:color w:val="000000"/>
          <w:kern w:val="32"/>
          <w:sz w:val="32"/>
          <w:szCs w:val="32"/>
          <w:lang w:eastAsia="zh-CN"/>
        </w:rPr>
        <w:t>）</w:t>
      </w:r>
      <w:r>
        <w:rPr>
          <w:rFonts w:hint="eastAsia" w:ascii="Times New Roman" w:hAnsi="Times New Roman" w:eastAsia="楷体_GB2312"/>
          <w:b/>
          <w:bCs/>
          <w:color w:val="000000"/>
          <w:kern w:val="32"/>
          <w:sz w:val="32"/>
          <w:szCs w:val="32"/>
        </w:rPr>
        <w:t>监督保障</w:t>
      </w:r>
      <w:r>
        <w:rPr>
          <w:rFonts w:hint="eastAsia" w:ascii="Times New Roman" w:hAnsi="Times New Roman" w:eastAsia="楷体_GB2312"/>
          <w:b/>
          <w:bCs/>
          <w:color w:val="000000"/>
          <w:kern w:val="32"/>
          <w:sz w:val="32"/>
          <w:szCs w:val="32"/>
          <w:lang w:val="en-US" w:eastAsia="zh-CN"/>
        </w:rPr>
        <w:t>。</w:t>
      </w:r>
    </w:p>
    <w:p>
      <w:pPr>
        <w:pStyle w:val="5"/>
        <w:numPr>
          <w:ilvl w:val="0"/>
          <w:numId w:val="0"/>
        </w:numPr>
        <w:shd w:val="clear" w:color="auto" w:fill="FFFFFF"/>
        <w:spacing w:beforeAutospacing="0" w:afterAutospacing="0" w:line="560" w:lineRule="exact"/>
        <w:ind w:firstLine="960" w:firstLineChars="300"/>
        <w:jc w:val="both"/>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我局结合工作实际，从强化组织领导、健全目标责任、完善制度建设等方面入手，健全完善政务公开工作监督保障体系，同时将政府信息公开工作纳入我局年度工作目标体系，统一安排，统一部署，统筹推进政务公开工作，确保政务公开工作规范有序落实。同时加强信息发布审核，确保信息发布质量。 </w:t>
      </w:r>
    </w:p>
    <w:p>
      <w:pPr>
        <w:pStyle w:val="5"/>
        <w:shd w:val="clear" w:color="auto" w:fill="FFFFFF"/>
        <w:spacing w:beforeAutospacing="0" w:afterAutospacing="0" w:line="560" w:lineRule="exact"/>
        <w:ind w:firstLine="640" w:firstLineChars="200"/>
        <w:jc w:val="both"/>
        <w:rPr>
          <w:rFonts w:hint="eastAsia" w:ascii="黑体" w:hAnsi="黑体" w:eastAsia="黑体"/>
          <w:bCs/>
          <w:color w:val="000000"/>
          <w:kern w:val="32"/>
          <w:sz w:val="28"/>
          <w:szCs w:val="28"/>
          <w:highlight w:val="red"/>
          <w:shd w:val="clear" w:color="auto" w:fill="FFFFFF"/>
          <w:lang w:eastAsia="zh-CN"/>
        </w:rPr>
      </w:pPr>
      <w:r>
        <w:rPr>
          <w:rFonts w:hint="eastAsia" w:ascii="黑体" w:hAnsi="黑体" w:eastAsia="黑体"/>
          <w:bCs/>
          <w:color w:val="000000"/>
          <w:kern w:val="32"/>
          <w:sz w:val="32"/>
          <w:szCs w:val="32"/>
          <w:shd w:val="clear" w:color="auto" w:fill="FFFFFF"/>
        </w:rPr>
        <w:t>二、主动公开政府信息情况</w:t>
      </w:r>
    </w:p>
    <w:tbl>
      <w:tblPr>
        <w:tblStyle w:val="6"/>
        <w:tblW w:w="9127" w:type="dxa"/>
        <w:jc w:val="center"/>
        <w:tblLayout w:type="autofit"/>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30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8</w:t>
            </w:r>
          </w:p>
        </w:tc>
      </w:tr>
    </w:tbl>
    <w:p>
      <w:pPr>
        <w:pStyle w:val="5"/>
        <w:widowControl/>
        <w:shd w:val="clear" w:color="auto" w:fill="FFFFFF"/>
        <w:spacing w:beforeAutospacing="0" w:afterAutospacing="0" w:line="200" w:lineRule="atLeast"/>
        <w:ind w:firstLine="420"/>
        <w:jc w:val="both"/>
        <w:rPr>
          <w:rFonts w:ascii="黑体" w:hAnsi="黑体" w:eastAsia="黑体" w:cs="黑体"/>
          <w:b/>
          <w:bCs/>
          <w:color w:val="000000"/>
          <w:sz w:val="32"/>
          <w:szCs w:val="32"/>
          <w:shd w:val="clear" w:color="auto" w:fill="FFFFFF"/>
        </w:rPr>
      </w:pPr>
    </w:p>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15"/>
          <w:szCs w:val="15"/>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6"/>
        <w:tblW w:w="4795" w:type="pct"/>
        <w:jc w:val="center"/>
        <w:tblLayout w:type="autofit"/>
        <w:tblCellMar>
          <w:top w:w="0" w:type="dxa"/>
          <w:left w:w="0" w:type="dxa"/>
          <w:bottom w:w="0" w:type="dxa"/>
          <w:right w:w="0" w:type="dxa"/>
        </w:tblCellMar>
      </w:tblPr>
      <w:tblGrid>
        <w:gridCol w:w="952"/>
        <w:gridCol w:w="954"/>
        <w:gridCol w:w="3164"/>
        <w:gridCol w:w="478"/>
        <w:gridCol w:w="394"/>
        <w:gridCol w:w="405"/>
        <w:gridCol w:w="685"/>
        <w:gridCol w:w="694"/>
        <w:gridCol w:w="395"/>
        <w:gridCol w:w="519"/>
      </w:tblGrid>
      <w:tr>
        <w:tblPrEx>
          <w:tblCellMar>
            <w:top w:w="0" w:type="dxa"/>
            <w:left w:w="0" w:type="dxa"/>
            <w:bottom w:w="0" w:type="dxa"/>
            <w:right w:w="0" w:type="dxa"/>
          </w:tblCellMar>
        </w:tblPrEx>
        <w:trPr>
          <w:trHeight w:val="318" w:hRule="atLeast"/>
          <w:jc w:val="center"/>
        </w:trPr>
        <w:tc>
          <w:tcPr>
            <w:tcW w:w="2932"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067"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932"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78"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489"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300"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932"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78" w:type="pct"/>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226"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35"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397"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402"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27"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300" w:type="pct"/>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932"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318" w:hRule="atLeast"/>
          <w:jc w:val="center"/>
        </w:trPr>
        <w:tc>
          <w:tcPr>
            <w:tcW w:w="2932"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552"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379"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9"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ind w:firstLine="280" w:firstLineChars="100"/>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3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27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27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9"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318" w:hRule="atLeast"/>
          <w:jc w:val="center"/>
        </w:trPr>
        <w:tc>
          <w:tcPr>
            <w:tcW w:w="2932"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bl>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6"/>
        <w:tblW w:w="4824" w:type="pct"/>
        <w:jc w:val="center"/>
        <w:tblLayout w:type="autofit"/>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3336"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333" w:type="pct"/>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r>
    </w:tbl>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五、存在的主要问题及改进情况</w:t>
      </w:r>
    </w:p>
    <w:p>
      <w:pPr>
        <w:overflowPunct w:val="0"/>
        <w:autoSpaceDN w:val="0"/>
        <w:adjustRightInd w:val="0"/>
        <w:snapToGrid w:val="0"/>
        <w:spacing w:line="500" w:lineRule="exact"/>
        <w:ind w:firstLine="643" w:firstLineChars="200"/>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rPr>
        <w:t>（一）存在的问题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Calibri" w:hAnsi="Calibri" w:cs="Calibri"/>
          <w:i w:val="0"/>
          <w:iCs w:val="0"/>
          <w:caps w:val="0"/>
          <w:color w:val="000000"/>
          <w:spacing w:val="0"/>
          <w:sz w:val="21"/>
          <w:szCs w:val="21"/>
        </w:rPr>
      </w:pPr>
      <w:r>
        <w:rPr>
          <w:rFonts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2022年，我局政府信息公开工作从总体上看，运行状况良好，但也有一些不足，主要是政府信息公开面对社会的宣传力度还不够部分工程信息未及时公开，政府信息公开工作机制还需进一步完善。</w:t>
      </w:r>
    </w:p>
    <w:p>
      <w:pPr>
        <w:numPr>
          <w:ilvl w:val="0"/>
          <w:numId w:val="2"/>
        </w:numPr>
        <w:overflowPunct w:val="0"/>
        <w:autoSpaceDN w:val="0"/>
        <w:adjustRightInd w:val="0"/>
        <w:snapToGrid w:val="0"/>
        <w:spacing w:line="500" w:lineRule="exact"/>
        <w:ind w:firstLine="643" w:firstLineChars="200"/>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rPr>
        <w:t>下一步打算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eastAsia" w:ascii="Times New Roman" w:hAnsi="Times New Roman" w:eastAsia="楷体_GB2312"/>
          <w:b/>
          <w:color w:val="000000"/>
          <w:sz w:val="32"/>
          <w:szCs w:val="32"/>
          <w:lang w:val="en-US" w:eastAsia="zh-CN"/>
        </w:rPr>
        <w:t xml:space="preserve">  </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2023年，我局将加大工作力度，把水利高质量发展改革工作与政务公开工作紧密相结合，力促政务公开工作再上新台阶。一是通过开展政务公开，牢牢把握人民群众普遍关心和关系人民群众切身利益的问题，推进水利中心工作的开展。二是通过开展政务公开，进一步增强行业管理透明度，规范工作人员的行政行为。三是通过开展政务公开，促进党风廉政建设和文明行业创建工作，提高水利干部职工队伍素质。四是通过加强考核与监督，进一步巩固政务公开成果，确保政务公开制度得到行之有效的贯彻落实。</w:t>
      </w:r>
    </w:p>
    <w:p>
      <w:pPr>
        <w:pStyle w:val="5"/>
        <w:shd w:val="clear" w:color="auto" w:fill="FFFFFF"/>
        <w:spacing w:beforeAutospacing="0" w:afterAutospacing="0" w:line="560" w:lineRule="exact"/>
        <w:ind w:firstLine="640" w:firstLineChars="200"/>
        <w:jc w:val="both"/>
        <w:rPr>
          <w:rFonts w:ascii="Times New Roman" w:hAnsi="Times New Roman" w:eastAsia="黑体"/>
          <w:bCs/>
          <w:color w:val="000000"/>
          <w:kern w:val="32"/>
          <w:sz w:val="32"/>
          <w:szCs w:val="32"/>
          <w:shd w:val="clear" w:color="auto" w:fill="FFFFFF"/>
        </w:rPr>
      </w:pPr>
      <w:r>
        <w:rPr>
          <w:rFonts w:hint="eastAsia" w:ascii="Times New Roman" w:hAnsi="黑体" w:eastAsia="黑体"/>
          <w:bCs/>
          <w:color w:val="000000"/>
          <w:kern w:val="32"/>
          <w:sz w:val="32"/>
          <w:szCs w:val="32"/>
          <w:shd w:val="clear" w:color="auto" w:fill="FFFFFF"/>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0" w:firstLineChars="200"/>
        <w:jc w:val="left"/>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本年度，本机关未收取信息公开处理费。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　　上高县人民政府网（http://www.shanggao.gov.cn）</w:t>
      </w:r>
      <w:r>
        <w:rPr>
          <w:rFonts w:hint="eastAsia" w:ascii="Times New Roman" w:hAnsi="Times New Roman" w:eastAsia="仿宋_GB2312"/>
          <w:color w:val="000000"/>
          <w:kern w:val="32"/>
          <w:sz w:val="32"/>
          <w:szCs w:val="32"/>
          <w:lang w:eastAsia="zh-CN"/>
        </w:rPr>
        <w:t>，</w:t>
      </w:r>
      <w:r>
        <w:rPr>
          <w:rFonts w:hint="eastAsia" w:ascii="Times New Roman" w:hAnsi="Times New Roman" w:eastAsia="仿宋_GB2312"/>
          <w:color w:val="000000"/>
          <w:kern w:val="32"/>
          <w:sz w:val="32"/>
          <w:szCs w:val="32"/>
        </w:rPr>
        <w:t>如需了解更多政府信息，请登录查询。</w:t>
      </w:r>
    </w:p>
    <w:p>
      <w:pPr>
        <w:pStyle w:val="5"/>
        <w:shd w:val="clear" w:color="auto" w:fill="FFFFFF"/>
        <w:spacing w:beforeAutospacing="0" w:afterAutospacing="0" w:line="560" w:lineRule="exact"/>
        <w:ind w:firstLine="640" w:firstLineChars="200"/>
        <w:jc w:val="both"/>
        <w:rPr>
          <w:rFonts w:hint="eastAsia" w:ascii="Times New Roman" w:hAnsi="仿宋" w:eastAsia="仿宋"/>
          <w:color w:val="000000"/>
          <w:sz w:val="32"/>
          <w:szCs w:val="32"/>
          <w:shd w:val="clear" w:color="auto" w:fill="FFFFFF"/>
        </w:rPr>
      </w:pPr>
    </w:p>
    <w:sectPr>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D29D"/>
    <w:multiLevelType w:val="singleLevel"/>
    <w:tmpl w:val="CBEBD29D"/>
    <w:lvl w:ilvl="0" w:tentative="0">
      <w:start w:val="2"/>
      <w:numFmt w:val="chineseCounting"/>
      <w:suff w:val="nothing"/>
      <w:lvlText w:val="（%1）"/>
      <w:lvlJc w:val="left"/>
      <w:rPr>
        <w:rFonts w:hint="eastAsia"/>
      </w:rPr>
    </w:lvl>
  </w:abstractNum>
  <w:abstractNum w:abstractNumId="1">
    <w:nsid w:val="1E7C9BB6"/>
    <w:multiLevelType w:val="singleLevel"/>
    <w:tmpl w:val="1E7C9BB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TI3ZWI2NDc1ZDQ1ODk4OWRiMmY0NWJhZjQ3NGUifQ=="/>
  </w:docVars>
  <w:rsids>
    <w:rsidRoot w:val="006C3125"/>
    <w:rsid w:val="00002B5A"/>
    <w:rsid w:val="00007628"/>
    <w:rsid w:val="000212A0"/>
    <w:rsid w:val="000258F8"/>
    <w:rsid w:val="0003627E"/>
    <w:rsid w:val="0003703E"/>
    <w:rsid w:val="0004190C"/>
    <w:rsid w:val="00050700"/>
    <w:rsid w:val="000528BD"/>
    <w:rsid w:val="0008119A"/>
    <w:rsid w:val="00084A77"/>
    <w:rsid w:val="00086803"/>
    <w:rsid w:val="000A107D"/>
    <w:rsid w:val="000B42C2"/>
    <w:rsid w:val="000D46C7"/>
    <w:rsid w:val="000E0C8E"/>
    <w:rsid w:val="000E2C16"/>
    <w:rsid w:val="0010472D"/>
    <w:rsid w:val="001305BA"/>
    <w:rsid w:val="001354FE"/>
    <w:rsid w:val="00136084"/>
    <w:rsid w:val="00140C5F"/>
    <w:rsid w:val="00156BCB"/>
    <w:rsid w:val="001712C7"/>
    <w:rsid w:val="0018227C"/>
    <w:rsid w:val="001D1EED"/>
    <w:rsid w:val="00224C4D"/>
    <w:rsid w:val="00243D39"/>
    <w:rsid w:val="00247B66"/>
    <w:rsid w:val="002564CD"/>
    <w:rsid w:val="002728C2"/>
    <w:rsid w:val="002838E9"/>
    <w:rsid w:val="002A4E6C"/>
    <w:rsid w:val="002B6344"/>
    <w:rsid w:val="002C1C15"/>
    <w:rsid w:val="002E0FDA"/>
    <w:rsid w:val="0035024E"/>
    <w:rsid w:val="00353026"/>
    <w:rsid w:val="003537C1"/>
    <w:rsid w:val="0035705F"/>
    <w:rsid w:val="00363C33"/>
    <w:rsid w:val="0036723C"/>
    <w:rsid w:val="00371C2E"/>
    <w:rsid w:val="00377B03"/>
    <w:rsid w:val="00381870"/>
    <w:rsid w:val="0039555B"/>
    <w:rsid w:val="003B520C"/>
    <w:rsid w:val="003E344D"/>
    <w:rsid w:val="00400CE9"/>
    <w:rsid w:val="00403654"/>
    <w:rsid w:val="00423653"/>
    <w:rsid w:val="00473266"/>
    <w:rsid w:val="004B4752"/>
    <w:rsid w:val="004F13A9"/>
    <w:rsid w:val="005176FC"/>
    <w:rsid w:val="005228CD"/>
    <w:rsid w:val="00525951"/>
    <w:rsid w:val="00564DBF"/>
    <w:rsid w:val="00594CA9"/>
    <w:rsid w:val="005F290B"/>
    <w:rsid w:val="005F5F7F"/>
    <w:rsid w:val="006018F0"/>
    <w:rsid w:val="00620781"/>
    <w:rsid w:val="006416F4"/>
    <w:rsid w:val="00644F49"/>
    <w:rsid w:val="00656371"/>
    <w:rsid w:val="006903FC"/>
    <w:rsid w:val="00691BDF"/>
    <w:rsid w:val="00695830"/>
    <w:rsid w:val="006A0F9E"/>
    <w:rsid w:val="006A7F71"/>
    <w:rsid w:val="006C01BE"/>
    <w:rsid w:val="006C3125"/>
    <w:rsid w:val="006D06B8"/>
    <w:rsid w:val="006E4F0C"/>
    <w:rsid w:val="00723119"/>
    <w:rsid w:val="00757200"/>
    <w:rsid w:val="007826CA"/>
    <w:rsid w:val="00795B22"/>
    <w:rsid w:val="00795C58"/>
    <w:rsid w:val="007A5A9F"/>
    <w:rsid w:val="007B3DD1"/>
    <w:rsid w:val="007C1AEA"/>
    <w:rsid w:val="007E42B4"/>
    <w:rsid w:val="007E4612"/>
    <w:rsid w:val="007E6EAD"/>
    <w:rsid w:val="007F114A"/>
    <w:rsid w:val="00824556"/>
    <w:rsid w:val="00851B09"/>
    <w:rsid w:val="00891766"/>
    <w:rsid w:val="0089400F"/>
    <w:rsid w:val="008B7E9A"/>
    <w:rsid w:val="008C2F5F"/>
    <w:rsid w:val="008D6333"/>
    <w:rsid w:val="008E496B"/>
    <w:rsid w:val="0091067C"/>
    <w:rsid w:val="00914206"/>
    <w:rsid w:val="00930EF4"/>
    <w:rsid w:val="0097297C"/>
    <w:rsid w:val="00980583"/>
    <w:rsid w:val="00981553"/>
    <w:rsid w:val="0098328B"/>
    <w:rsid w:val="009B5839"/>
    <w:rsid w:val="009C07F9"/>
    <w:rsid w:val="009D0206"/>
    <w:rsid w:val="009E3EB4"/>
    <w:rsid w:val="00A215A5"/>
    <w:rsid w:val="00A302FB"/>
    <w:rsid w:val="00AA5D9B"/>
    <w:rsid w:val="00AB3026"/>
    <w:rsid w:val="00AD0A6A"/>
    <w:rsid w:val="00AD39E5"/>
    <w:rsid w:val="00B230D9"/>
    <w:rsid w:val="00B478D6"/>
    <w:rsid w:val="00B7055C"/>
    <w:rsid w:val="00BA1010"/>
    <w:rsid w:val="00BC3F2A"/>
    <w:rsid w:val="00BE1984"/>
    <w:rsid w:val="00BE60DA"/>
    <w:rsid w:val="00BF478B"/>
    <w:rsid w:val="00C0609D"/>
    <w:rsid w:val="00C063A3"/>
    <w:rsid w:val="00C100F7"/>
    <w:rsid w:val="00C650DA"/>
    <w:rsid w:val="00C66258"/>
    <w:rsid w:val="00C70866"/>
    <w:rsid w:val="00C864AE"/>
    <w:rsid w:val="00C9412C"/>
    <w:rsid w:val="00CB3C3C"/>
    <w:rsid w:val="00CC102B"/>
    <w:rsid w:val="00CC1087"/>
    <w:rsid w:val="00CC322A"/>
    <w:rsid w:val="00CD2340"/>
    <w:rsid w:val="00CD32C2"/>
    <w:rsid w:val="00CD5265"/>
    <w:rsid w:val="00CE465A"/>
    <w:rsid w:val="00D36931"/>
    <w:rsid w:val="00D62A90"/>
    <w:rsid w:val="00D966FF"/>
    <w:rsid w:val="00DA2640"/>
    <w:rsid w:val="00DF0D1F"/>
    <w:rsid w:val="00E06B3B"/>
    <w:rsid w:val="00E11CE0"/>
    <w:rsid w:val="00E25BD3"/>
    <w:rsid w:val="00E30271"/>
    <w:rsid w:val="00E60568"/>
    <w:rsid w:val="00E62293"/>
    <w:rsid w:val="00EA0456"/>
    <w:rsid w:val="00EA7587"/>
    <w:rsid w:val="00EB02B3"/>
    <w:rsid w:val="00EB1D6F"/>
    <w:rsid w:val="00EB3E4F"/>
    <w:rsid w:val="00EC29A2"/>
    <w:rsid w:val="00EC7DE8"/>
    <w:rsid w:val="00EE0C88"/>
    <w:rsid w:val="00EF2861"/>
    <w:rsid w:val="00EF2DAF"/>
    <w:rsid w:val="00F0378A"/>
    <w:rsid w:val="00F371CA"/>
    <w:rsid w:val="00F51574"/>
    <w:rsid w:val="00F639EF"/>
    <w:rsid w:val="00FC48E4"/>
    <w:rsid w:val="00FC6E56"/>
    <w:rsid w:val="00FD21D5"/>
    <w:rsid w:val="00FD685A"/>
    <w:rsid w:val="00FD7479"/>
    <w:rsid w:val="00FF3C1E"/>
    <w:rsid w:val="01C26E13"/>
    <w:rsid w:val="024E4C05"/>
    <w:rsid w:val="038D43FE"/>
    <w:rsid w:val="04E43544"/>
    <w:rsid w:val="04F14A63"/>
    <w:rsid w:val="05F23F40"/>
    <w:rsid w:val="06EF4FF4"/>
    <w:rsid w:val="06F15717"/>
    <w:rsid w:val="08CB64DD"/>
    <w:rsid w:val="0BA323F2"/>
    <w:rsid w:val="0CA529EA"/>
    <w:rsid w:val="0D392A9D"/>
    <w:rsid w:val="0DF2282E"/>
    <w:rsid w:val="0E576B35"/>
    <w:rsid w:val="0F1B66AB"/>
    <w:rsid w:val="118009BA"/>
    <w:rsid w:val="11E4732B"/>
    <w:rsid w:val="12296E13"/>
    <w:rsid w:val="124341AB"/>
    <w:rsid w:val="1297170F"/>
    <w:rsid w:val="13D749A0"/>
    <w:rsid w:val="14EC5B4D"/>
    <w:rsid w:val="15333622"/>
    <w:rsid w:val="155913E5"/>
    <w:rsid w:val="17FC294A"/>
    <w:rsid w:val="18AF17FE"/>
    <w:rsid w:val="19772C68"/>
    <w:rsid w:val="1A0758B3"/>
    <w:rsid w:val="1AB4496C"/>
    <w:rsid w:val="1BEA22A4"/>
    <w:rsid w:val="1BF9747E"/>
    <w:rsid w:val="1D7D6135"/>
    <w:rsid w:val="1EE15FE8"/>
    <w:rsid w:val="1F3F5155"/>
    <w:rsid w:val="1F891BF3"/>
    <w:rsid w:val="1FEA7809"/>
    <w:rsid w:val="21696E53"/>
    <w:rsid w:val="21D85626"/>
    <w:rsid w:val="2299676A"/>
    <w:rsid w:val="259207B1"/>
    <w:rsid w:val="25C40AFC"/>
    <w:rsid w:val="26D829E9"/>
    <w:rsid w:val="27CB4854"/>
    <w:rsid w:val="28916513"/>
    <w:rsid w:val="28E63FBE"/>
    <w:rsid w:val="29A81E49"/>
    <w:rsid w:val="2A465F91"/>
    <w:rsid w:val="2C6A78FC"/>
    <w:rsid w:val="2E993699"/>
    <w:rsid w:val="2EEC536B"/>
    <w:rsid w:val="31871996"/>
    <w:rsid w:val="31E27909"/>
    <w:rsid w:val="32256B8B"/>
    <w:rsid w:val="327B14BC"/>
    <w:rsid w:val="3443325D"/>
    <w:rsid w:val="357165DC"/>
    <w:rsid w:val="374E461C"/>
    <w:rsid w:val="377D1455"/>
    <w:rsid w:val="37F80C39"/>
    <w:rsid w:val="3A0E134F"/>
    <w:rsid w:val="3A8A0F8A"/>
    <w:rsid w:val="3B9C6DBC"/>
    <w:rsid w:val="3C123735"/>
    <w:rsid w:val="3CE23414"/>
    <w:rsid w:val="3D8802EA"/>
    <w:rsid w:val="40B0729A"/>
    <w:rsid w:val="40BF44BA"/>
    <w:rsid w:val="411F0E72"/>
    <w:rsid w:val="4185518C"/>
    <w:rsid w:val="42F93A27"/>
    <w:rsid w:val="44352E99"/>
    <w:rsid w:val="46FC1A4C"/>
    <w:rsid w:val="4792311A"/>
    <w:rsid w:val="485F6737"/>
    <w:rsid w:val="48D06BDA"/>
    <w:rsid w:val="4A5E1027"/>
    <w:rsid w:val="4C2C34BA"/>
    <w:rsid w:val="4C9F3297"/>
    <w:rsid w:val="4E1A1D63"/>
    <w:rsid w:val="4F4B79F8"/>
    <w:rsid w:val="533E62DD"/>
    <w:rsid w:val="5408251D"/>
    <w:rsid w:val="54730017"/>
    <w:rsid w:val="54B1145F"/>
    <w:rsid w:val="573B7B2C"/>
    <w:rsid w:val="582F5EE5"/>
    <w:rsid w:val="58760D79"/>
    <w:rsid w:val="596F2552"/>
    <w:rsid w:val="5BBB4694"/>
    <w:rsid w:val="5C003E28"/>
    <w:rsid w:val="5CE07ABA"/>
    <w:rsid w:val="5CE96632"/>
    <w:rsid w:val="5DAD53F7"/>
    <w:rsid w:val="5F1D65AC"/>
    <w:rsid w:val="612A3A23"/>
    <w:rsid w:val="61F726EF"/>
    <w:rsid w:val="62141EE8"/>
    <w:rsid w:val="62692834"/>
    <w:rsid w:val="631D02F6"/>
    <w:rsid w:val="644751C1"/>
    <w:rsid w:val="66712B6A"/>
    <w:rsid w:val="66A43744"/>
    <w:rsid w:val="67124879"/>
    <w:rsid w:val="67535261"/>
    <w:rsid w:val="68C857DA"/>
    <w:rsid w:val="69D41542"/>
    <w:rsid w:val="6AE95E56"/>
    <w:rsid w:val="6C963990"/>
    <w:rsid w:val="6CD04C5E"/>
    <w:rsid w:val="6CF52916"/>
    <w:rsid w:val="6F652F30"/>
    <w:rsid w:val="70E228B5"/>
    <w:rsid w:val="729F3C2B"/>
    <w:rsid w:val="7342505B"/>
    <w:rsid w:val="7656119D"/>
    <w:rsid w:val="76EA412A"/>
    <w:rsid w:val="7720770B"/>
    <w:rsid w:val="78DD0E2E"/>
    <w:rsid w:val="7ABB5EAE"/>
    <w:rsid w:val="7C257CBE"/>
    <w:rsid w:val="7CE751A4"/>
    <w:rsid w:val="7EB318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qFormat/>
    <w:uiPriority w:val="99"/>
    <w:pPr>
      <w:spacing w:beforeAutospacing="1" w:afterAutospacing="1"/>
      <w:jc w:val="left"/>
      <w:outlineLvl w:val="2"/>
    </w:pPr>
    <w:rPr>
      <w:rFonts w:ascii="宋体" w:hAnsi="宋体"/>
      <w:b/>
      <w:bCs/>
      <w:kern w:val="0"/>
      <w:sz w:val="27"/>
      <w:szCs w:val="27"/>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qFormat/>
    <w:locked/>
    <w:uiPriority w:val="99"/>
    <w:pPr>
      <w:tabs>
        <w:tab w:val="center" w:pos="4153"/>
        <w:tab w:val="right" w:pos="8306"/>
      </w:tabs>
      <w:snapToGrid w:val="0"/>
      <w:jc w:val="left"/>
    </w:pPr>
    <w:rPr>
      <w:sz w:val="18"/>
      <w:szCs w:val="18"/>
    </w:rPr>
  </w:style>
  <w:style w:type="paragraph" w:styleId="4">
    <w:name w:val="header"/>
    <w:basedOn w:val="1"/>
    <w:link w:val="9"/>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customStyle="1" w:styleId="8">
    <w:name w:val="Heading 3 Char"/>
    <w:basedOn w:val="7"/>
    <w:link w:val="2"/>
    <w:semiHidden/>
    <w:qFormat/>
    <w:locked/>
    <w:uiPriority w:val="99"/>
    <w:rPr>
      <w:rFonts w:ascii="Calibri" w:hAnsi="Calibri" w:cs="Times New Roman"/>
      <w:b/>
      <w:bCs/>
      <w:sz w:val="32"/>
      <w:szCs w:val="32"/>
    </w:rPr>
  </w:style>
  <w:style w:type="character" w:customStyle="1" w:styleId="9">
    <w:name w:val="Header Char"/>
    <w:basedOn w:val="7"/>
    <w:link w:val="4"/>
    <w:semiHidden/>
    <w:qFormat/>
    <w:locked/>
    <w:uiPriority w:val="99"/>
    <w:rPr>
      <w:rFonts w:ascii="Calibri" w:hAnsi="Calibri" w:cs="Times New Roman"/>
      <w:sz w:val="18"/>
      <w:szCs w:val="18"/>
    </w:rPr>
  </w:style>
  <w:style w:type="character" w:customStyle="1" w:styleId="10">
    <w:name w:val="Footer Char"/>
    <w:basedOn w:val="7"/>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1357</Words>
  <Characters>1448</Characters>
  <Lines>0</Lines>
  <Paragraphs>0</Paragraphs>
  <TotalTime>4</TotalTime>
  <ScaleCrop>false</ScaleCrop>
  <LinksUpToDate>false</LinksUpToDate>
  <CharactersWithSpaces>1456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2022-02-07T06:36:00Z</cp:lastPrinted>
  <dcterms:modified xsi:type="dcterms:W3CDTF">2023-01-18T01:47:47Z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FF931B62CB33471FBC752E8CA0922FD0</vt:lpwstr>
  </property>
</Properties>
</file>