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pacing w:before="0" w:after="0" w:line="240" w:lineRule="auto"/>
        <w:contextualSpacing/>
        <w:jc w:val="center"/>
        <w:rPr>
          <w:rFonts w:hint="eastAsia" w:ascii="宋体" w:hAnsi="宋体" w:cs="宋体"/>
          <w:sz w:val="32"/>
          <w:szCs w:val="32"/>
        </w:rPr>
      </w:pPr>
      <w:bookmarkStart w:id="0" w:name="_Toc25100"/>
      <w:bookmarkStart w:id="1" w:name="OLE_LINK2"/>
      <w:r>
        <w:rPr>
          <w:rFonts w:ascii="宋体" w:hAnsi="宋体" w:cs="宋体"/>
          <w:sz w:val="32"/>
          <w:szCs w:val="32"/>
        </w:rPr>
        <w:t>附录1</w:t>
      </w:r>
      <w:r>
        <w:rPr>
          <w:rFonts w:hint="eastAsia" w:ascii="宋体" w:hAnsi="宋体" w:cs="宋体"/>
          <w:sz w:val="32"/>
          <w:szCs w:val="32"/>
        </w:rPr>
        <w:t xml:space="preserve"> </w:t>
      </w:r>
      <w:r>
        <w:rPr>
          <w:rFonts w:ascii="宋体" w:hAnsi="宋体" w:cs="宋体"/>
          <w:sz w:val="32"/>
          <w:szCs w:val="32"/>
        </w:rPr>
        <w:t>资格审查条件</w:t>
      </w:r>
      <w:r>
        <w:rPr>
          <w:rFonts w:hint="eastAsia" w:ascii="宋体" w:hAnsi="宋体" w:cs="宋体"/>
          <w:sz w:val="32"/>
          <w:szCs w:val="32"/>
        </w:rPr>
        <w:t>（资质最低要求）</w:t>
      </w:r>
      <w:bookmarkEnd w:id="0"/>
    </w:p>
    <w:tbl>
      <w:tblPr>
        <w:tblStyle w:val="9"/>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blHeader/>
          <w:jc w:val="center"/>
        </w:trPr>
        <w:tc>
          <w:tcPr>
            <w:tcW w:w="7974" w:type="dxa"/>
            <w:noWrap w:val="0"/>
            <w:vAlign w:val="center"/>
          </w:tcPr>
          <w:p>
            <w:pPr>
              <w:tabs>
                <w:tab w:val="left" w:pos="180"/>
              </w:tabs>
              <w:adjustRightInd w:val="0"/>
              <w:contextualSpacing/>
              <w:jc w:val="center"/>
              <w:rPr>
                <w:b/>
                <w:sz w:val="21"/>
                <w:szCs w:val="21"/>
              </w:rPr>
            </w:pPr>
            <w:r>
              <w:rPr>
                <w:szCs w:val="21"/>
              </w:rPr>
              <w:t>监理企业资质等级要求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78" w:hRule="atLeast"/>
          <w:jc w:val="center"/>
        </w:trPr>
        <w:tc>
          <w:tcPr>
            <w:tcW w:w="7974" w:type="dxa"/>
            <w:noWrap w:val="0"/>
            <w:vAlign w:val="center"/>
          </w:tcPr>
          <w:p>
            <w:pPr>
              <w:adjustRightInd w:val="0"/>
              <w:spacing w:line="360" w:lineRule="exact"/>
              <w:ind w:left="100" w:leftChars="50" w:right="100" w:rightChars="50"/>
              <w:contextualSpacing/>
              <w:rPr>
                <w:rFonts w:hint="eastAsia" w:ascii="宋体" w:hAnsi="宋体" w:eastAsia="宋体" w:cs="宋体"/>
                <w:spacing w:val="-6"/>
                <w:sz w:val="21"/>
                <w:szCs w:val="21"/>
              </w:rPr>
            </w:pPr>
            <w:r>
              <w:rPr>
                <w:rFonts w:hint="eastAsia" w:hAnsi="宋体"/>
                <w:sz w:val="21"/>
                <w:szCs w:val="21"/>
              </w:rPr>
              <w:t>（1）投标人具备独立法人资</w:t>
            </w:r>
            <w:r>
              <w:rPr>
                <w:rFonts w:hint="eastAsia" w:ascii="宋体" w:hAnsi="宋体" w:eastAsia="宋体" w:cs="宋体"/>
                <w:spacing w:val="-6"/>
                <w:sz w:val="21"/>
                <w:szCs w:val="21"/>
              </w:rPr>
              <w:t>格，具有有效的营业</w:t>
            </w:r>
            <w:r>
              <w:rPr>
                <w:rFonts w:hint="eastAsia" w:hAnsi="宋体"/>
                <w:sz w:val="21"/>
                <w:szCs w:val="21"/>
              </w:rPr>
              <w:t>执照；</w:t>
            </w:r>
          </w:p>
          <w:p>
            <w:pPr>
              <w:adjustRightInd w:val="0"/>
              <w:spacing w:line="360" w:lineRule="exact"/>
              <w:ind w:left="100" w:leftChars="50" w:right="100" w:rightChars="50"/>
              <w:contextualSpacing/>
              <w:rPr>
                <w:rFonts w:hint="eastAsia" w:hAnsi="宋体"/>
                <w:sz w:val="21"/>
                <w:szCs w:val="21"/>
              </w:rPr>
            </w:pPr>
            <w:r>
              <w:rPr>
                <w:rFonts w:hint="eastAsia" w:ascii="宋体" w:hAnsi="宋体" w:eastAsia="宋体" w:cs="宋体"/>
                <w:spacing w:val="-6"/>
                <w:sz w:val="21"/>
                <w:szCs w:val="21"/>
              </w:rPr>
              <w:t>（2）交通运输主管部门颁发的公路工程监理乙级（含）及以上企业资质。</w:t>
            </w:r>
          </w:p>
        </w:tc>
      </w:tr>
    </w:tbl>
    <w:p>
      <w:pPr>
        <w:adjustRightInd w:val="0"/>
        <w:contextualSpacing/>
        <w:rPr>
          <w:rFonts w:hint="eastAsia" w:ascii="宋体" w:hAnsi="宋体"/>
        </w:rPr>
      </w:pPr>
    </w:p>
    <w:p>
      <w:pPr>
        <w:adjustRightInd w:val="0"/>
        <w:contextualSpacing/>
        <w:rPr>
          <w:rFonts w:ascii="宋体" w:hAnsi="宋体"/>
        </w:rPr>
      </w:pPr>
    </w:p>
    <w:p>
      <w:pPr>
        <w:adjustRightInd w:val="0"/>
        <w:contextualSpacing/>
        <w:rPr>
          <w:rFonts w:ascii="宋体" w:hAnsi="宋体"/>
        </w:rPr>
      </w:pPr>
    </w:p>
    <w:p>
      <w:pPr>
        <w:spacing w:line="360"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注：投标人须按投标文件格式相关要求提供有效的营业执照、资质证书等证明材料的扫描件。</w:t>
      </w:r>
    </w:p>
    <w:p>
      <w:pPr>
        <w:adjustRightInd w:val="0"/>
        <w:contextualSpacing/>
        <w:rPr>
          <w:rFonts w:ascii="宋体" w:hAnsi="宋体"/>
          <w:sz w:val="21"/>
          <w:szCs w:val="21"/>
        </w:rPr>
        <w:sectPr>
          <w:type w:val="nextColumn"/>
          <w:pgSz w:w="11907" w:h="16840"/>
          <w:pgMar w:top="1418" w:right="1418" w:bottom="1418" w:left="1588" w:header="851" w:footer="992" w:gutter="0"/>
          <w:pgBorders>
            <w:top w:val="none" w:sz="0" w:space="0"/>
            <w:left w:val="none" w:sz="0" w:space="0"/>
            <w:bottom w:val="none" w:sz="0" w:space="0"/>
            <w:right w:val="none" w:sz="0" w:space="0"/>
          </w:pgBorders>
          <w:cols w:space="720" w:num="1"/>
          <w:docGrid w:linePitch="360" w:charSpace="0"/>
        </w:sectPr>
      </w:pPr>
    </w:p>
    <w:p>
      <w:pPr>
        <w:adjustRightInd w:val="0"/>
        <w:contextualSpacing/>
        <w:rPr>
          <w:rFonts w:hint="eastAsia" w:ascii="宋体" w:hAnsi="宋体"/>
        </w:rPr>
      </w:pPr>
    </w:p>
    <w:p>
      <w:pPr>
        <w:pStyle w:val="4"/>
        <w:adjustRightInd w:val="0"/>
        <w:spacing w:before="0" w:after="0" w:line="240" w:lineRule="auto"/>
        <w:contextualSpacing/>
        <w:jc w:val="center"/>
        <w:rPr>
          <w:rFonts w:ascii="宋体" w:hAnsi="宋体" w:cs="宋体"/>
          <w:sz w:val="32"/>
          <w:szCs w:val="32"/>
        </w:rPr>
      </w:pPr>
      <w:bookmarkStart w:id="2" w:name="_Toc10253"/>
      <w:r>
        <w:rPr>
          <w:rFonts w:ascii="宋体" w:hAnsi="宋体" w:cs="宋体"/>
          <w:sz w:val="32"/>
          <w:szCs w:val="32"/>
        </w:rPr>
        <w:t>附录2</w:t>
      </w:r>
      <w:r>
        <w:rPr>
          <w:rFonts w:hint="eastAsia" w:ascii="宋体" w:hAnsi="宋体" w:cs="宋体"/>
          <w:sz w:val="32"/>
          <w:szCs w:val="32"/>
        </w:rPr>
        <w:t xml:space="preserve"> </w:t>
      </w:r>
      <w:r>
        <w:rPr>
          <w:rFonts w:ascii="宋体" w:hAnsi="宋体" w:cs="宋体"/>
          <w:sz w:val="32"/>
          <w:szCs w:val="32"/>
        </w:rPr>
        <w:t>资格审查条件</w:t>
      </w:r>
      <w:r>
        <w:rPr>
          <w:rFonts w:hint="eastAsia" w:ascii="宋体" w:hAnsi="宋体" w:cs="宋体"/>
          <w:sz w:val="32"/>
          <w:szCs w:val="32"/>
        </w:rPr>
        <w:t>（业绩最低要求）</w:t>
      </w:r>
      <w:bookmarkEnd w:id="2"/>
    </w:p>
    <w:p>
      <w:pPr>
        <w:adjustRightInd w:val="0"/>
        <w:contextualSpacing/>
        <w:jc w:val="center"/>
        <w:rPr>
          <w:rFonts w:hint="eastAsia"/>
          <w:sz w:val="18"/>
        </w:rPr>
      </w:pPr>
    </w:p>
    <w:tbl>
      <w:tblPr>
        <w:tblStyle w:val="9"/>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7974" w:type="dxa"/>
            <w:noWrap w:val="0"/>
            <w:vAlign w:val="center"/>
          </w:tcPr>
          <w:p>
            <w:pPr>
              <w:tabs>
                <w:tab w:val="left" w:pos="180"/>
              </w:tabs>
              <w:adjustRightInd w:val="0"/>
              <w:spacing w:line="360" w:lineRule="exact"/>
              <w:contextualSpacing/>
              <w:jc w:val="center"/>
              <w:rPr>
                <w:rFonts w:hAnsi="宋体"/>
                <w:b/>
                <w:sz w:val="21"/>
                <w:szCs w:val="21"/>
              </w:rPr>
            </w:pPr>
            <w:bookmarkStart w:id="3" w:name="page34"/>
            <w:bookmarkEnd w:id="3"/>
            <w:r>
              <w:rPr>
                <w:rFonts w:hAnsi="宋体"/>
                <w:b/>
                <w:sz w:val="21"/>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2" w:hRule="atLeast"/>
          <w:jc w:val="center"/>
        </w:trPr>
        <w:tc>
          <w:tcPr>
            <w:tcW w:w="7974" w:type="dxa"/>
            <w:noWrap w:val="0"/>
            <w:vAlign w:val="center"/>
          </w:tcPr>
          <w:p>
            <w:pPr>
              <w:pStyle w:val="6"/>
              <w:adjustRightInd w:val="0"/>
              <w:spacing w:after="0" w:line="360" w:lineRule="exact"/>
              <w:ind w:left="100" w:leftChars="50" w:right="100" w:rightChars="50"/>
              <w:contextualSpacing/>
              <w:jc w:val="center"/>
              <w:rPr>
                <w:szCs w:val="21"/>
                <w:highlight w:val="none"/>
                <w:lang w:val="en-US" w:eastAsia="zh-CN"/>
              </w:rPr>
            </w:pPr>
            <w:r>
              <w:rPr>
                <w:rFonts w:hint="eastAsia" w:ascii="宋体" w:hAnsi="宋体" w:cs="宋体"/>
                <w:sz w:val="21"/>
                <w:szCs w:val="21"/>
                <w:highlight w:val="none"/>
              </w:rPr>
              <w:t>投标人</w:t>
            </w:r>
            <w:r>
              <w:rPr>
                <w:rFonts w:hint="eastAsia" w:ascii="宋体" w:hAnsi="宋体" w:eastAsia="宋体" w:cs="宋体"/>
                <w:sz w:val="21"/>
                <w:szCs w:val="21"/>
                <w:highlight w:val="none"/>
              </w:rPr>
              <w:t>自201</w:t>
            </w:r>
            <w:r>
              <w:rPr>
                <w:rFonts w:hint="eastAsia" w:ascii="宋体" w:hAnsi="宋体" w:cs="宋体"/>
                <w:sz w:val="21"/>
                <w:szCs w:val="21"/>
                <w:highlight w:val="none"/>
                <w:lang w:val="en-US" w:eastAsia="zh-CN"/>
              </w:rPr>
              <w:t>8</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12</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18</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日至</w:t>
            </w:r>
            <w:r>
              <w:rPr>
                <w:rFonts w:hint="eastAsia" w:ascii="宋体" w:hAnsi="宋体" w:cs="宋体"/>
                <w:sz w:val="21"/>
                <w:szCs w:val="21"/>
                <w:highlight w:val="none"/>
                <w:lang w:eastAsia="zh-CN"/>
              </w:rPr>
              <w:t>招标公告发布</w:t>
            </w:r>
            <w:r>
              <w:rPr>
                <w:rFonts w:hint="eastAsia" w:ascii="宋体" w:hAnsi="宋体" w:eastAsia="宋体" w:cs="宋体"/>
                <w:sz w:val="21"/>
                <w:szCs w:val="21"/>
                <w:highlight w:val="none"/>
              </w:rPr>
              <w:t>前一日</w:t>
            </w:r>
            <w:r>
              <w:rPr>
                <w:rFonts w:hint="eastAsia" w:ascii="宋体" w:hAnsi="宋体" w:cs="宋体"/>
                <w:sz w:val="21"/>
                <w:szCs w:val="21"/>
                <w:highlight w:val="none"/>
              </w:rPr>
              <w:t>独立完成过不少于</w:t>
            </w:r>
            <w:r>
              <w:rPr>
                <w:rFonts w:hint="eastAsia" w:ascii="宋体" w:hAnsi="宋体" w:cs="宋体"/>
                <w:sz w:val="21"/>
                <w:szCs w:val="21"/>
                <w:highlight w:val="none"/>
                <w:lang w:val="en-US" w:eastAsia="zh-CN"/>
              </w:rPr>
              <w:t>157米</w:t>
            </w:r>
            <w:r>
              <w:rPr>
                <w:rFonts w:hint="eastAsia" w:ascii="宋体" w:hAnsi="宋体" w:cs="宋体"/>
                <w:sz w:val="21"/>
                <w:szCs w:val="21"/>
                <w:highlight w:val="none"/>
              </w:rPr>
              <w:t>的</w:t>
            </w:r>
            <w:r>
              <w:rPr>
                <w:rFonts w:hint="eastAsia" w:ascii="宋体" w:hAnsi="宋体" w:cs="宋体"/>
                <w:sz w:val="21"/>
                <w:szCs w:val="21"/>
                <w:highlight w:val="none"/>
                <w:lang w:eastAsia="zh-CN"/>
              </w:rPr>
              <w:t>大桥</w:t>
            </w:r>
            <w:r>
              <w:rPr>
                <w:rFonts w:hint="eastAsia"/>
                <w:sz w:val="21"/>
                <w:szCs w:val="21"/>
                <w:highlight w:val="none"/>
              </w:rPr>
              <w:t>新建</w:t>
            </w:r>
            <w:r>
              <w:rPr>
                <w:rFonts w:hint="eastAsia"/>
                <w:sz w:val="21"/>
                <w:szCs w:val="21"/>
                <w:highlight w:val="none"/>
                <w:lang w:eastAsia="zh-CN"/>
              </w:rPr>
              <w:t>或改扩建</w:t>
            </w:r>
            <w:r>
              <w:rPr>
                <w:rFonts w:hint="eastAsia"/>
                <w:sz w:val="21"/>
                <w:szCs w:val="21"/>
                <w:highlight w:val="none"/>
              </w:rPr>
              <w:t>工程</w:t>
            </w:r>
            <w:r>
              <w:rPr>
                <w:rFonts w:hint="eastAsia" w:ascii="宋体" w:hAnsi="宋体" w:cs="宋体"/>
                <w:sz w:val="21"/>
                <w:szCs w:val="21"/>
                <w:highlight w:val="none"/>
              </w:rPr>
              <w:t>项目监理业绩至少一个。</w:t>
            </w:r>
          </w:p>
        </w:tc>
      </w:tr>
    </w:tbl>
    <w:p>
      <w:pPr>
        <w:adjustRightInd w:val="0"/>
        <w:contextualSpacing/>
        <w:rPr>
          <w:rFonts w:hint="eastAsia"/>
          <w:highlight w:val="none"/>
        </w:rPr>
      </w:pPr>
    </w:p>
    <w:p>
      <w:pPr>
        <w:adjustRightInd w:val="0"/>
        <w:contextualSpacing/>
        <w:rPr>
          <w:highlight w:val="none"/>
        </w:rPr>
      </w:pPr>
    </w:p>
    <w:p>
      <w:pPr>
        <w:pStyle w:val="5"/>
        <w:rPr>
          <w:highlight w:val="none"/>
          <w:lang w:eastAsia="zh-CN"/>
        </w:rPr>
      </w:pPr>
    </w:p>
    <w:p>
      <w:pPr>
        <w:jc w:val="both"/>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注：投标人须按投标文件格式相关要求提供业绩证明材料，业绩认定要求：</w:t>
      </w:r>
    </w:p>
    <w:p>
      <w:pPr>
        <w:ind w:firstLine="480" w:firstLineChars="200"/>
        <w:jc w:val="both"/>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1、“近年完成的类似项目情况表”应附在交通运输部“全国公路建设市场信用信息管理系统”中查询到的企业“业绩信息”相关项目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w:t>
      </w:r>
    </w:p>
    <w:p>
      <w:pPr>
        <w:ind w:firstLine="480" w:firstLineChars="200"/>
        <w:jc w:val="both"/>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如投标人未提供相关项目网页截图彩色复印件或相关项目网页截图中的信息无法证实投标人满足招标文件规定的资格审查条件（业绩最低要求），则该项目业绩不予认定。</w:t>
      </w:r>
    </w:p>
    <w:p>
      <w:pPr>
        <w:ind w:firstLine="480" w:firstLineChars="200"/>
        <w:jc w:val="both"/>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2、投标人以任何联合体形式完成的项目业绩视为不满足上述业绩最低要求，投标人在中国境外完成的业绩视为不满足上述业绩最低要求。</w:t>
      </w:r>
    </w:p>
    <w:p>
      <w:pPr>
        <w:ind w:firstLine="480" w:firstLineChars="200"/>
        <w:jc w:val="both"/>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3、同一个监理合同中若包含多个满足资格审查条件最低业绩要求的，可分别予以计算。</w:t>
      </w:r>
    </w:p>
    <w:p>
      <w:pPr>
        <w:ind w:firstLine="480" w:firstLineChars="200"/>
        <w:jc w:val="both"/>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4、近年完成的类似项目情况的时间要求：近五年（</w:t>
      </w:r>
      <w:r>
        <w:rPr>
          <w:rFonts w:hint="eastAsia" w:ascii="仿宋_GB2312" w:hAnsi="仿宋_GB2312" w:eastAsia="仿宋_GB2312" w:cs="仿宋_GB2312"/>
          <w:sz w:val="24"/>
          <w:szCs w:val="24"/>
          <w:highlight w:val="none"/>
          <w:lang w:eastAsia="zh-CN" w:bidi="ar"/>
        </w:rPr>
        <w:t>招标公告发布</w:t>
      </w:r>
      <w:r>
        <w:rPr>
          <w:rFonts w:hint="eastAsia" w:ascii="仿宋_GB2312" w:hAnsi="仿宋_GB2312" w:eastAsia="仿宋_GB2312" w:cs="仿宋_GB2312"/>
          <w:sz w:val="24"/>
          <w:szCs w:val="24"/>
          <w:highlight w:val="none"/>
          <w:lang w:bidi="ar"/>
        </w:rPr>
        <w:t>前一日回溯5年），以交工验收时间为准。</w:t>
      </w:r>
    </w:p>
    <w:p>
      <w:pPr>
        <w:ind w:firstLine="480" w:firstLineChars="200"/>
        <w:jc w:val="both"/>
        <w:rPr>
          <w:rFonts w:hint="eastAsia" w:ascii="仿宋_GB2312" w:hAnsi="仿宋_GB2312" w:eastAsia="仿宋_GB2312" w:cs="仿宋_GB2312"/>
          <w:sz w:val="24"/>
          <w:szCs w:val="24"/>
          <w:lang w:bidi="ar"/>
        </w:rPr>
        <w:sectPr>
          <w:type w:val="nextColumn"/>
          <w:pgSz w:w="11907" w:h="16840"/>
          <w:pgMar w:top="1418" w:right="1418" w:bottom="1418" w:left="1588" w:header="851" w:footer="992" w:gutter="0"/>
          <w:pgBorders>
            <w:top w:val="none" w:sz="0" w:space="0"/>
            <w:left w:val="none" w:sz="0" w:space="0"/>
            <w:bottom w:val="none" w:sz="0" w:space="0"/>
            <w:right w:val="none" w:sz="0" w:space="0"/>
          </w:pgBorders>
          <w:cols w:space="720" w:num="1"/>
          <w:docGrid w:linePitch="360" w:charSpace="0"/>
        </w:sectPr>
      </w:pPr>
    </w:p>
    <w:p>
      <w:pPr>
        <w:adjustRightInd w:val="0"/>
        <w:contextualSpacing/>
        <w:rPr>
          <w:rFonts w:hint="eastAsia"/>
        </w:rPr>
      </w:pPr>
    </w:p>
    <w:p>
      <w:pPr>
        <w:pStyle w:val="4"/>
        <w:adjustRightInd w:val="0"/>
        <w:spacing w:before="0" w:after="0" w:line="240" w:lineRule="auto"/>
        <w:contextualSpacing/>
        <w:jc w:val="center"/>
        <w:rPr>
          <w:rFonts w:hint="eastAsia" w:ascii="宋体" w:hAnsi="宋体" w:cs="宋体"/>
          <w:sz w:val="32"/>
          <w:szCs w:val="32"/>
        </w:rPr>
      </w:pPr>
      <w:bookmarkStart w:id="4" w:name="_Toc17721"/>
      <w:r>
        <w:rPr>
          <w:rFonts w:ascii="宋体" w:hAnsi="宋体" w:cs="宋体"/>
          <w:sz w:val="32"/>
          <w:szCs w:val="32"/>
        </w:rPr>
        <w:t>附录3</w:t>
      </w:r>
      <w:r>
        <w:rPr>
          <w:rFonts w:hint="eastAsia" w:ascii="宋体" w:hAnsi="宋体" w:cs="宋体"/>
          <w:sz w:val="32"/>
          <w:szCs w:val="32"/>
        </w:rPr>
        <w:t xml:space="preserve"> </w:t>
      </w:r>
      <w:r>
        <w:rPr>
          <w:rFonts w:ascii="宋体" w:hAnsi="宋体" w:cs="宋体"/>
          <w:sz w:val="32"/>
          <w:szCs w:val="32"/>
        </w:rPr>
        <w:t>资格审查条件</w:t>
      </w:r>
      <w:r>
        <w:rPr>
          <w:rFonts w:hint="eastAsia" w:ascii="宋体" w:hAnsi="宋体" w:cs="宋体"/>
          <w:sz w:val="32"/>
          <w:szCs w:val="32"/>
        </w:rPr>
        <w:t>（信誉最低要求）</w:t>
      </w:r>
      <w:bookmarkEnd w:id="4"/>
    </w:p>
    <w:p>
      <w:pPr>
        <w:rPr>
          <w:rFonts w:hint="eastAsia"/>
        </w:rPr>
      </w:pPr>
    </w:p>
    <w:tbl>
      <w:tblPr>
        <w:tblStyle w:val="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0" w:type="dxa"/>
          <w:bottom w:w="0" w:type="dxa"/>
          <w:right w:w="0" w:type="dxa"/>
        </w:tblCellMar>
      </w:tblPr>
      <w:tblGrid>
        <w:gridCol w:w="907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671" w:hRule="atLeast"/>
          <w:jc w:val="center"/>
        </w:trPr>
        <w:tc>
          <w:tcPr>
            <w:tcW w:w="9071" w:type="dxa"/>
            <w:noWrap w:val="0"/>
            <w:vAlign w:val="center"/>
          </w:tcPr>
          <w:p>
            <w:pPr>
              <w:tabs>
                <w:tab w:val="left" w:pos="180"/>
              </w:tabs>
              <w:adjustRightInd w:val="0"/>
              <w:ind w:left="100" w:leftChars="50" w:right="100" w:rightChars="50"/>
              <w:contextualSpacing/>
              <w:jc w:val="center"/>
              <w:rPr>
                <w:b/>
                <w:sz w:val="21"/>
                <w:szCs w:val="21"/>
              </w:rPr>
            </w:pPr>
            <w:r>
              <w:rPr>
                <w:b/>
                <w:sz w:val="21"/>
                <w:szCs w:val="21"/>
              </w:rPr>
              <w:t>信 誉 要 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5659" w:hRule="atLeast"/>
          <w:jc w:val="center"/>
        </w:trPr>
        <w:tc>
          <w:tcPr>
            <w:tcW w:w="9071" w:type="dxa"/>
            <w:noWrap w:val="0"/>
            <w:vAlign w:val="top"/>
          </w:tcPr>
          <w:p>
            <w:pPr>
              <w:snapToGrid w:val="0"/>
              <w:spacing w:line="420" w:lineRule="exact"/>
              <w:ind w:left="100" w:leftChars="50" w:right="100" w:rightChars="50" w:firstLine="420" w:firstLineChars="200"/>
              <w:jc w:val="both"/>
              <w:rPr>
                <w:rFonts w:hint="eastAsia" w:hAnsi="宋体"/>
                <w:sz w:val="21"/>
                <w:szCs w:val="21"/>
              </w:rPr>
            </w:pPr>
            <w:r>
              <w:rPr>
                <w:rFonts w:hint="eastAsia" w:hAnsi="宋体"/>
                <w:sz w:val="21"/>
                <w:szCs w:val="21"/>
              </w:rPr>
              <w:t>投标人不得存在下列不良状况或不良信用记录：</w:t>
            </w:r>
          </w:p>
          <w:p>
            <w:pPr>
              <w:snapToGrid w:val="0"/>
              <w:spacing w:line="420" w:lineRule="exact"/>
              <w:ind w:left="100" w:leftChars="50" w:right="100" w:rightChars="50" w:firstLine="420" w:firstLineChars="200"/>
              <w:jc w:val="both"/>
              <w:rPr>
                <w:rFonts w:hint="eastAsia" w:hAnsi="宋体"/>
                <w:sz w:val="21"/>
                <w:szCs w:val="21"/>
              </w:rPr>
            </w:pPr>
            <w:r>
              <w:rPr>
                <w:rFonts w:hint="eastAsia" w:hAnsi="宋体"/>
                <w:sz w:val="21"/>
                <w:szCs w:val="21"/>
              </w:rPr>
              <w:t>（1）被本招标项目所在地的交通运输主管部门或综合监管部门暂停或取消本招标项目所在地的投标资格且处于有效期内或公示期内；</w:t>
            </w:r>
          </w:p>
          <w:p>
            <w:pPr>
              <w:snapToGrid w:val="0"/>
              <w:spacing w:line="420" w:lineRule="exact"/>
              <w:ind w:left="100" w:leftChars="50" w:right="100" w:rightChars="50" w:firstLine="420" w:firstLineChars="200"/>
              <w:jc w:val="both"/>
              <w:rPr>
                <w:rFonts w:hint="eastAsia" w:hAnsi="宋体"/>
                <w:sz w:val="21"/>
                <w:szCs w:val="21"/>
              </w:rPr>
            </w:pPr>
            <w:r>
              <w:rPr>
                <w:rFonts w:hint="eastAsia" w:hAnsi="宋体"/>
                <w:sz w:val="21"/>
                <w:szCs w:val="21"/>
              </w:rPr>
              <w:t>（2）被责令停业，暂扣或吊销执照，或吊销资质证书；</w:t>
            </w:r>
          </w:p>
          <w:p>
            <w:pPr>
              <w:snapToGrid w:val="0"/>
              <w:spacing w:line="420" w:lineRule="exact"/>
              <w:ind w:left="100" w:leftChars="50" w:right="100" w:rightChars="50" w:firstLine="420" w:firstLineChars="200"/>
              <w:jc w:val="both"/>
              <w:rPr>
                <w:rFonts w:hint="eastAsia" w:hAnsi="宋体"/>
                <w:sz w:val="21"/>
                <w:szCs w:val="21"/>
              </w:rPr>
            </w:pPr>
            <w:r>
              <w:rPr>
                <w:rFonts w:hint="eastAsia" w:hAnsi="宋体"/>
                <w:sz w:val="21"/>
                <w:szCs w:val="21"/>
              </w:rPr>
              <w:t>（3）进入企业重整、清算程序，或被宣告破产，或其他丧失履约能力的情形；</w:t>
            </w:r>
          </w:p>
          <w:p>
            <w:pPr>
              <w:snapToGrid w:val="0"/>
              <w:spacing w:line="420" w:lineRule="exact"/>
              <w:ind w:left="100" w:leftChars="50" w:right="100" w:rightChars="50" w:firstLine="420" w:firstLineChars="200"/>
              <w:jc w:val="both"/>
              <w:rPr>
                <w:rFonts w:hint="eastAsia" w:hAnsi="宋体"/>
                <w:sz w:val="21"/>
                <w:szCs w:val="21"/>
              </w:rPr>
            </w:pPr>
            <w:r>
              <w:rPr>
                <w:rFonts w:hint="eastAsia" w:hAnsi="宋体"/>
                <w:sz w:val="21"/>
                <w:szCs w:val="21"/>
              </w:rPr>
              <w:t>（4）在国家企业信用信息公示系统中被列入严重违法失信企业名单；</w:t>
            </w:r>
          </w:p>
          <w:p>
            <w:pPr>
              <w:snapToGrid w:val="0"/>
              <w:spacing w:line="420" w:lineRule="exact"/>
              <w:ind w:left="100" w:leftChars="50" w:right="100" w:rightChars="50" w:firstLine="420" w:firstLineChars="200"/>
              <w:jc w:val="both"/>
              <w:rPr>
                <w:rFonts w:hint="eastAsia" w:hAnsi="宋体"/>
                <w:sz w:val="21"/>
                <w:szCs w:val="21"/>
              </w:rPr>
            </w:pPr>
            <w:r>
              <w:rPr>
                <w:rFonts w:hint="eastAsia" w:hAnsi="宋体"/>
                <w:sz w:val="21"/>
                <w:szCs w:val="21"/>
              </w:rPr>
              <w:t>（5）在“信用中国”网站</w:t>
            </w:r>
            <w:bookmarkStart w:id="13" w:name="_GoBack"/>
            <w:bookmarkEnd w:id="13"/>
            <w:r>
              <w:rPr>
                <w:rFonts w:hint="eastAsia" w:hAnsi="宋体"/>
                <w:sz w:val="21"/>
                <w:szCs w:val="21"/>
              </w:rPr>
              <w:t>中被列入失信被执行人名单；</w:t>
            </w:r>
          </w:p>
          <w:p>
            <w:pPr>
              <w:snapToGrid w:val="0"/>
              <w:spacing w:line="420" w:lineRule="exact"/>
              <w:ind w:left="100" w:leftChars="50" w:right="100" w:rightChars="50" w:firstLine="420" w:firstLineChars="200"/>
              <w:jc w:val="both"/>
              <w:rPr>
                <w:rFonts w:hint="eastAsia" w:hAnsi="宋体"/>
                <w:sz w:val="21"/>
                <w:szCs w:val="21"/>
              </w:rPr>
            </w:pPr>
            <w:r>
              <w:rPr>
                <w:rFonts w:hint="eastAsia" w:hAnsi="宋体"/>
                <w:sz w:val="21"/>
                <w:szCs w:val="21"/>
              </w:rPr>
              <w:t>（6）投标人或其法定代表人、拟委任的现场监理机构负责人（总监理工程师）在近三年内有行贿犯罪行为的；</w:t>
            </w:r>
          </w:p>
          <w:p>
            <w:pPr>
              <w:snapToGrid w:val="0"/>
              <w:spacing w:line="420" w:lineRule="exact"/>
              <w:ind w:left="100" w:leftChars="50" w:right="100" w:rightChars="50" w:firstLine="420" w:firstLineChars="200"/>
              <w:jc w:val="both"/>
              <w:rPr>
                <w:rFonts w:hint="eastAsia" w:hAnsi="宋体"/>
                <w:sz w:val="21"/>
                <w:szCs w:val="21"/>
              </w:rPr>
            </w:pPr>
            <w:r>
              <w:rPr>
                <w:rFonts w:hint="eastAsia" w:hAnsi="宋体"/>
                <w:sz w:val="21"/>
                <w:szCs w:val="21"/>
              </w:rPr>
              <w:t>（7）因拖欠农民工工资而被县级及以上行政部门作出行政处罚且处于有效期内或公示期内；</w:t>
            </w:r>
          </w:p>
          <w:p>
            <w:pPr>
              <w:pStyle w:val="6"/>
              <w:adjustRightInd w:val="0"/>
              <w:snapToGrid w:val="0"/>
              <w:spacing w:after="0" w:line="420" w:lineRule="exact"/>
              <w:ind w:left="100" w:leftChars="50" w:right="100" w:rightChars="50" w:firstLine="420" w:firstLineChars="200"/>
              <w:contextualSpacing/>
              <w:rPr>
                <w:rFonts w:hint="eastAsia" w:hAnsi="宋体"/>
                <w:szCs w:val="21"/>
                <w:lang w:val="en-US" w:eastAsia="zh-CN"/>
              </w:rPr>
            </w:pPr>
            <w:r>
              <w:rPr>
                <w:rFonts w:hint="eastAsia" w:hAnsi="宋体"/>
                <w:kern w:val="0"/>
                <w:szCs w:val="21"/>
                <w:lang w:val="en-US" w:eastAsia="zh-CN"/>
              </w:rPr>
              <w:t>（8）法律法规或投标人须知前附表规定的其他情形。</w:t>
            </w:r>
          </w:p>
        </w:tc>
      </w:tr>
    </w:tbl>
    <w:p>
      <w:pPr>
        <w:adjustRightInd w:val="0"/>
        <w:contextualSpacing/>
        <w:rPr>
          <w:rFonts w:eastAsia="Times New Roman"/>
        </w:rPr>
      </w:pPr>
    </w:p>
    <w:p>
      <w:pPr>
        <w:adjustRightInd w:val="0"/>
        <w:contextualSpacing/>
        <w:rPr>
          <w:rFonts w:eastAsia="Times New Roman"/>
        </w:rPr>
      </w:pPr>
    </w:p>
    <w:p>
      <w:pPr>
        <w:adjustRightInd w:val="0"/>
        <w:contextualSpacing/>
        <w:jc w:val="both"/>
        <w:rPr>
          <w:rFonts w:hint="eastAsia"/>
          <w:sz w:val="18"/>
        </w:rPr>
      </w:pPr>
    </w:p>
    <w:p>
      <w:pPr>
        <w:adjustRightInd w:val="0"/>
        <w:contextualSpacing/>
        <w:rPr>
          <w:rFonts w:eastAsia="Times New Roman"/>
        </w:rPr>
        <w:sectPr>
          <w:pgSz w:w="11907" w:h="16840"/>
          <w:pgMar w:top="1418" w:right="1418" w:bottom="1418" w:left="1588" w:header="851" w:footer="992" w:gutter="0"/>
          <w:pgBorders>
            <w:top w:val="none" w:sz="0" w:space="0"/>
            <w:left w:val="none" w:sz="0" w:space="0"/>
            <w:bottom w:val="none" w:sz="0" w:space="0"/>
            <w:right w:val="none" w:sz="0" w:space="0"/>
          </w:pgBorders>
          <w:cols w:space="720" w:num="1"/>
          <w:docGrid w:linePitch="360" w:charSpace="0"/>
        </w:sectPr>
      </w:pPr>
    </w:p>
    <w:p>
      <w:pPr>
        <w:adjustRightInd w:val="0"/>
        <w:contextualSpacing/>
        <w:rPr>
          <w:rFonts w:eastAsia="Times New Roman"/>
        </w:rPr>
      </w:pPr>
    </w:p>
    <w:p>
      <w:pPr>
        <w:pStyle w:val="4"/>
        <w:adjustRightInd w:val="0"/>
        <w:spacing w:before="0" w:after="0" w:line="240" w:lineRule="auto"/>
        <w:contextualSpacing/>
        <w:jc w:val="center"/>
        <w:rPr>
          <w:rFonts w:hint="eastAsia" w:ascii="宋体" w:hAnsi="宋体" w:cs="宋体"/>
          <w:spacing w:val="-11"/>
          <w:w w:val="95"/>
          <w:sz w:val="32"/>
          <w:szCs w:val="32"/>
        </w:rPr>
      </w:pPr>
      <w:bookmarkStart w:id="5" w:name="_Toc9880"/>
      <w:r>
        <w:rPr>
          <w:rFonts w:ascii="宋体" w:hAnsi="宋体" w:cs="宋体"/>
          <w:spacing w:val="-11"/>
          <w:w w:val="95"/>
          <w:sz w:val="32"/>
          <w:szCs w:val="32"/>
        </w:rPr>
        <w:t>附录4</w:t>
      </w:r>
      <w:r>
        <w:rPr>
          <w:rFonts w:hint="eastAsia" w:ascii="宋体" w:hAnsi="宋体" w:cs="宋体"/>
          <w:spacing w:val="-11"/>
          <w:w w:val="95"/>
          <w:sz w:val="32"/>
          <w:szCs w:val="32"/>
        </w:rPr>
        <w:t xml:space="preserve"> </w:t>
      </w:r>
      <w:r>
        <w:rPr>
          <w:rFonts w:ascii="宋体" w:hAnsi="宋体" w:cs="宋体"/>
          <w:spacing w:val="-11"/>
          <w:w w:val="95"/>
          <w:sz w:val="32"/>
          <w:szCs w:val="32"/>
        </w:rPr>
        <w:t>资格审查条件（</w:t>
      </w:r>
      <w:bookmarkStart w:id="6" w:name="_Hlk528747703"/>
      <w:bookmarkStart w:id="7" w:name="_Hlk528869206"/>
      <w:r>
        <w:rPr>
          <w:rFonts w:hint="eastAsia" w:ascii="宋体" w:hAnsi="宋体" w:cs="宋体"/>
          <w:spacing w:val="-11"/>
          <w:sz w:val="32"/>
          <w:szCs w:val="32"/>
        </w:rPr>
        <w:t>拟委任的总监理工程师</w:t>
      </w:r>
      <w:bookmarkEnd w:id="6"/>
      <w:bookmarkEnd w:id="7"/>
      <w:r>
        <w:rPr>
          <w:rFonts w:hint="eastAsia" w:ascii="宋体" w:hAnsi="宋体" w:cs="宋体"/>
          <w:spacing w:val="-11"/>
          <w:sz w:val="32"/>
          <w:szCs w:val="32"/>
        </w:rPr>
        <w:t>最低要求</w:t>
      </w:r>
      <w:r>
        <w:rPr>
          <w:rFonts w:ascii="宋体" w:hAnsi="宋体" w:cs="宋体"/>
          <w:spacing w:val="-11"/>
          <w:w w:val="95"/>
          <w:sz w:val="32"/>
          <w:szCs w:val="32"/>
        </w:rPr>
        <w:t>）</w:t>
      </w:r>
      <w:bookmarkEnd w:id="5"/>
    </w:p>
    <w:p>
      <w:pPr>
        <w:rPr>
          <w:rFonts w:hint="eastAsia"/>
        </w:rPr>
      </w:pPr>
    </w:p>
    <w:tbl>
      <w:tblPr>
        <w:tblStyle w:val="9"/>
        <w:tblW w:w="881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0" w:type="dxa"/>
          <w:bottom w:w="0" w:type="dxa"/>
          <w:right w:w="0" w:type="dxa"/>
        </w:tblCellMar>
      </w:tblPr>
      <w:tblGrid>
        <w:gridCol w:w="1523"/>
        <w:gridCol w:w="720"/>
        <w:gridCol w:w="3793"/>
        <w:gridCol w:w="278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523" w:type="dxa"/>
            <w:noWrap w:val="0"/>
            <w:vAlign w:val="center"/>
          </w:tcPr>
          <w:p>
            <w:pPr>
              <w:ind w:left="100" w:leftChars="50" w:right="100" w:rightChars="50"/>
              <w:jc w:val="center"/>
              <w:rPr>
                <w:rFonts w:hint="eastAsia" w:ascii="宋体" w:hAnsi="宋体" w:cs="宋体"/>
                <w:b/>
                <w:sz w:val="21"/>
                <w:szCs w:val="21"/>
              </w:rPr>
            </w:pPr>
            <w:r>
              <w:rPr>
                <w:rFonts w:hint="eastAsia" w:ascii="宋体" w:hAnsi="宋体" w:cs="宋体"/>
                <w:sz w:val="21"/>
                <w:szCs w:val="21"/>
                <w:lang w:bidi="ar"/>
              </w:rPr>
              <w:t>人  员</w:t>
            </w:r>
          </w:p>
        </w:tc>
        <w:tc>
          <w:tcPr>
            <w:tcW w:w="720" w:type="dxa"/>
            <w:noWrap w:val="0"/>
            <w:vAlign w:val="center"/>
          </w:tcPr>
          <w:p>
            <w:pPr>
              <w:ind w:left="100" w:leftChars="50" w:right="100" w:rightChars="50"/>
              <w:jc w:val="center"/>
              <w:rPr>
                <w:rFonts w:hint="eastAsia" w:ascii="宋体" w:hAnsi="宋体" w:cs="宋体"/>
                <w:b/>
                <w:sz w:val="21"/>
                <w:szCs w:val="21"/>
              </w:rPr>
            </w:pPr>
            <w:r>
              <w:rPr>
                <w:rFonts w:hint="eastAsia" w:ascii="宋体" w:hAnsi="宋体" w:cs="宋体"/>
                <w:sz w:val="21"/>
                <w:szCs w:val="21"/>
                <w:lang w:bidi="ar"/>
              </w:rPr>
              <w:t>数量</w:t>
            </w:r>
          </w:p>
        </w:tc>
        <w:tc>
          <w:tcPr>
            <w:tcW w:w="3793" w:type="dxa"/>
            <w:noWrap w:val="0"/>
            <w:vAlign w:val="center"/>
          </w:tcPr>
          <w:p>
            <w:pPr>
              <w:ind w:left="100" w:leftChars="50" w:right="100" w:rightChars="50"/>
              <w:jc w:val="center"/>
              <w:rPr>
                <w:rFonts w:hint="eastAsia" w:ascii="宋体" w:hAnsi="宋体" w:cs="宋体"/>
                <w:b/>
                <w:sz w:val="21"/>
                <w:szCs w:val="21"/>
              </w:rPr>
            </w:pPr>
            <w:r>
              <w:rPr>
                <w:rFonts w:hint="eastAsia" w:ascii="宋体" w:hAnsi="宋体" w:cs="宋体"/>
                <w:sz w:val="21"/>
                <w:szCs w:val="21"/>
                <w:lang w:bidi="ar"/>
              </w:rPr>
              <w:t>资 格 要 求</w:t>
            </w:r>
          </w:p>
        </w:tc>
        <w:tc>
          <w:tcPr>
            <w:tcW w:w="2782" w:type="dxa"/>
            <w:noWrap w:val="0"/>
            <w:vAlign w:val="center"/>
          </w:tcPr>
          <w:p>
            <w:pPr>
              <w:ind w:left="100" w:leftChars="50" w:right="100" w:rightChars="50"/>
              <w:jc w:val="center"/>
              <w:rPr>
                <w:rFonts w:hint="eastAsia" w:ascii="宋体" w:hAnsi="宋体" w:cs="宋体"/>
                <w:b/>
                <w:sz w:val="21"/>
                <w:szCs w:val="21"/>
              </w:rPr>
            </w:pPr>
            <w:r>
              <w:rPr>
                <w:rFonts w:hint="eastAsia" w:ascii="宋体" w:hAnsi="宋体" w:cs="宋体"/>
                <w:sz w:val="21"/>
                <w:szCs w:val="21"/>
                <w:lang w:bidi="ar"/>
              </w:rPr>
              <w:t>在岗要求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1557" w:hRule="atLeast"/>
          <w:jc w:val="center"/>
        </w:trPr>
        <w:tc>
          <w:tcPr>
            <w:tcW w:w="1523" w:type="dxa"/>
            <w:noWrap w:val="0"/>
            <w:vAlign w:val="center"/>
          </w:tcPr>
          <w:p>
            <w:pPr>
              <w:ind w:left="100" w:leftChars="50" w:right="100" w:rightChars="50"/>
              <w:jc w:val="center"/>
              <w:rPr>
                <w:rFonts w:hint="eastAsia" w:ascii="宋体" w:hAnsi="宋体" w:cs="宋体"/>
                <w:sz w:val="21"/>
                <w:szCs w:val="21"/>
              </w:rPr>
            </w:pPr>
            <w:r>
              <w:rPr>
                <w:rFonts w:hint="eastAsia" w:ascii="宋体" w:hAnsi="宋体" w:cs="宋体"/>
                <w:sz w:val="21"/>
                <w:szCs w:val="21"/>
                <w:lang w:bidi="ar"/>
              </w:rPr>
              <w:t>现场监理机构负责人（总监理工程师）</w:t>
            </w:r>
          </w:p>
        </w:tc>
        <w:tc>
          <w:tcPr>
            <w:tcW w:w="720" w:type="dxa"/>
            <w:noWrap w:val="0"/>
            <w:vAlign w:val="center"/>
          </w:tcPr>
          <w:p>
            <w:pPr>
              <w:ind w:left="100" w:leftChars="50" w:right="100" w:rightChars="50"/>
              <w:jc w:val="center"/>
              <w:rPr>
                <w:rFonts w:hint="eastAsia" w:ascii="宋体" w:hAnsi="宋体" w:cs="宋体"/>
                <w:sz w:val="21"/>
                <w:szCs w:val="21"/>
              </w:rPr>
            </w:pPr>
            <w:r>
              <w:rPr>
                <w:rFonts w:hint="eastAsia" w:ascii="宋体" w:hAnsi="宋体" w:cs="宋体"/>
                <w:sz w:val="21"/>
                <w:szCs w:val="21"/>
                <w:lang w:bidi="ar"/>
              </w:rPr>
              <w:t>1</w:t>
            </w:r>
          </w:p>
        </w:tc>
        <w:tc>
          <w:tcPr>
            <w:tcW w:w="3793" w:type="dxa"/>
            <w:noWrap w:val="0"/>
            <w:vAlign w:val="center"/>
          </w:tcPr>
          <w:p>
            <w:pPr>
              <w:ind w:left="100" w:leftChars="50" w:right="100" w:rightChars="50"/>
              <w:rPr>
                <w:rFonts w:hint="eastAsia" w:ascii="宋体" w:hAnsi="宋体" w:cs="宋体"/>
                <w:sz w:val="21"/>
                <w:szCs w:val="21"/>
                <w:lang w:bidi="ar"/>
              </w:rPr>
            </w:pPr>
            <w:r>
              <w:rPr>
                <w:rFonts w:hint="eastAsia" w:ascii="宋体" w:hAnsi="宋体" w:cs="宋体"/>
                <w:sz w:val="21"/>
                <w:szCs w:val="21"/>
                <w:highlight w:val="none"/>
                <w:lang w:bidi="ar"/>
              </w:rPr>
              <w:t>路桥相关专业中级及以上职称，</w:t>
            </w:r>
            <w:r>
              <w:rPr>
                <w:rFonts w:ascii="宋体" w:hAnsi="宋体" w:cs="宋体"/>
                <w:color w:val="000000"/>
                <w:sz w:val="22"/>
                <w:szCs w:val="22"/>
                <w:highlight w:val="none"/>
              </w:rPr>
              <w:t>持有交通运输部颁发的公路工程监理工程师资格证书。</w:t>
            </w:r>
          </w:p>
        </w:tc>
        <w:tc>
          <w:tcPr>
            <w:tcW w:w="2782" w:type="dxa"/>
            <w:noWrap w:val="0"/>
            <w:vAlign w:val="center"/>
          </w:tcPr>
          <w:p>
            <w:pPr>
              <w:ind w:left="100" w:leftChars="50" w:right="100" w:rightChars="50"/>
              <w:jc w:val="center"/>
              <w:rPr>
                <w:rFonts w:hint="eastAsia" w:ascii="宋体" w:hAnsi="宋体" w:cs="宋体"/>
                <w:sz w:val="21"/>
                <w:szCs w:val="21"/>
              </w:rPr>
            </w:pPr>
            <w:r>
              <w:rPr>
                <w:rFonts w:hint="eastAsia" w:ascii="宋体" w:hAnsi="宋体" w:cs="宋体"/>
                <w:sz w:val="21"/>
                <w:szCs w:val="21"/>
                <w:lang w:bidi="ar"/>
              </w:rPr>
              <w:t>无在岗项目（指目前未在其他项目上任职，或虽在其他项目上任职但本项目中标后能够从该项目撤离）</w:t>
            </w:r>
            <w:r>
              <w:rPr>
                <w:rFonts w:hint="eastAsia" w:ascii="宋体" w:hAnsi="宋体" w:cs="宋体"/>
                <w:sz w:val="21"/>
                <w:szCs w:val="21"/>
                <w:lang w:bidi="ar"/>
              </w:rPr>
              <w:tab/>
            </w:r>
            <w:r>
              <w:rPr>
                <w:rFonts w:hint="eastAsia" w:ascii="宋体" w:hAnsi="宋体" w:cs="宋体"/>
                <w:sz w:val="21"/>
                <w:szCs w:val="21"/>
                <w:lang w:bidi="ar"/>
              </w:rPr>
              <w:t xml:space="preserve"> </w:t>
            </w:r>
          </w:p>
        </w:tc>
      </w:tr>
    </w:tbl>
    <w:p>
      <w:pPr>
        <w:tabs>
          <w:tab w:val="left" w:pos="180"/>
        </w:tabs>
        <w:adjustRightInd w:val="0"/>
        <w:contextualSpacing/>
        <w:jc w:val="both"/>
        <w:rPr>
          <w:rFonts w:eastAsia="黑体"/>
          <w:b/>
          <w:bCs/>
          <w:sz w:val="28"/>
          <w:szCs w:val="28"/>
        </w:rPr>
      </w:pPr>
    </w:p>
    <w:p>
      <w:pPr>
        <w:pStyle w:val="5"/>
        <w:rPr>
          <w:lang w:eastAsia="zh-CN"/>
        </w:rPr>
      </w:pPr>
    </w:p>
    <w:p>
      <w:pPr>
        <w:spacing w:line="288" w:lineRule="auto"/>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注：</w:t>
      </w:r>
    </w:p>
    <w:p>
      <w:pPr>
        <w:spacing w:line="288"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 要求拟投入本项目的总监理工程师必须为投标人自有人员，且身体健康：</w:t>
      </w:r>
    </w:p>
    <w:p>
      <w:pPr>
        <w:spacing w:line="288"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拟委任的总监理工程师”应附总监理工程师的身份证、职称资格证书和资格审查条件所要求的其他相关证书（如公路工程监理工程师证书或全国公路建设市场信用信息管理系统网上查询截图等）的复印件，以及投标人所属社保机构出具的拟委任的总监理工程师近</w:t>
      </w:r>
      <w:r>
        <w:rPr>
          <w:rFonts w:hint="eastAsia" w:ascii="仿宋_GB2312" w:hAnsi="仿宋_GB2312" w:eastAsia="仿宋_GB2312" w:cs="仿宋_GB2312"/>
          <w:sz w:val="24"/>
          <w:szCs w:val="24"/>
          <w:highlight w:val="none"/>
          <w:shd w:val="clear" w:fill="FFFFFF" w:themeFill="background1"/>
          <w:lang w:bidi="ar"/>
        </w:rPr>
        <w:t>半</w:t>
      </w:r>
      <w:r>
        <w:rPr>
          <w:rFonts w:hint="eastAsia" w:ascii="仿宋_GB2312" w:hAnsi="仿宋_GB2312" w:eastAsia="仿宋_GB2312" w:cs="仿宋_GB2312"/>
          <w:sz w:val="24"/>
          <w:szCs w:val="24"/>
          <w:lang w:bidi="ar"/>
        </w:rPr>
        <w:t>年的社保缴费证明或其他能够证明拟委任的总监理工程师参加社保的有效证明材料复印件。</w:t>
      </w:r>
    </w:p>
    <w:p>
      <w:pPr>
        <w:spacing w:line="288"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如总监理工程师目前仍在其他项目上任职，则投标人应提供由该项目委托人出具的、承诺上述人员能够从该项目撤离的书面证明材料原件。</w:t>
      </w:r>
    </w:p>
    <w:p>
      <w:pPr>
        <w:spacing w:line="288"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3.投标人拟投入的总监理工程师必须在投标文件中进行填报。</w:t>
      </w:r>
    </w:p>
    <w:p>
      <w:pPr>
        <w:spacing w:line="360" w:lineRule="auto"/>
        <w:rPr>
          <w:rFonts w:hint="eastAsia" w:ascii="仿宋_GB2312" w:hAnsi="仿宋_GB2312" w:eastAsia="仿宋_GB2312" w:cs="仿宋_GB2312"/>
          <w:sz w:val="24"/>
          <w:szCs w:val="24"/>
          <w:lang w:bidi="ar"/>
        </w:rPr>
      </w:pPr>
    </w:p>
    <w:p>
      <w:pPr>
        <w:spacing w:line="360" w:lineRule="auto"/>
        <w:jc w:val="center"/>
        <w:rPr>
          <w:rFonts w:hint="eastAsia" w:ascii="宋体" w:hAnsi="宋体" w:cs="宋体"/>
          <w:b/>
          <w:bCs/>
          <w:spacing w:val="-11"/>
          <w:sz w:val="32"/>
          <w:szCs w:val="32"/>
        </w:rPr>
      </w:pPr>
      <w:bookmarkStart w:id="8" w:name="_Toc528870574"/>
    </w:p>
    <w:p>
      <w:pPr>
        <w:spacing w:line="360" w:lineRule="auto"/>
        <w:jc w:val="center"/>
        <w:rPr>
          <w:rFonts w:hint="eastAsia" w:ascii="宋体" w:hAnsi="宋体" w:cs="宋体"/>
          <w:b/>
          <w:bCs/>
          <w:spacing w:val="-11"/>
          <w:sz w:val="32"/>
          <w:szCs w:val="32"/>
        </w:rPr>
      </w:pPr>
    </w:p>
    <w:p>
      <w:pPr>
        <w:spacing w:line="360" w:lineRule="auto"/>
        <w:jc w:val="center"/>
        <w:rPr>
          <w:rFonts w:hint="eastAsia" w:ascii="宋体" w:hAnsi="宋体" w:cs="宋体"/>
          <w:b/>
          <w:bCs/>
          <w:spacing w:val="-11"/>
          <w:sz w:val="32"/>
          <w:szCs w:val="32"/>
        </w:rPr>
      </w:pPr>
    </w:p>
    <w:p>
      <w:pPr>
        <w:spacing w:line="360" w:lineRule="auto"/>
        <w:jc w:val="center"/>
        <w:rPr>
          <w:rFonts w:hint="eastAsia" w:ascii="宋体" w:hAnsi="宋体" w:cs="宋体"/>
          <w:b/>
          <w:bCs/>
          <w:spacing w:val="-11"/>
          <w:sz w:val="32"/>
          <w:szCs w:val="32"/>
        </w:rPr>
      </w:pPr>
    </w:p>
    <w:p>
      <w:pPr>
        <w:spacing w:line="360" w:lineRule="auto"/>
        <w:jc w:val="center"/>
        <w:rPr>
          <w:rFonts w:hint="eastAsia" w:ascii="宋体" w:hAnsi="宋体" w:cs="宋体"/>
          <w:b/>
          <w:bCs/>
          <w:spacing w:val="-11"/>
          <w:sz w:val="32"/>
          <w:szCs w:val="32"/>
        </w:rPr>
      </w:pPr>
    </w:p>
    <w:p>
      <w:pPr>
        <w:spacing w:line="360" w:lineRule="auto"/>
        <w:jc w:val="center"/>
        <w:rPr>
          <w:rFonts w:hint="eastAsia" w:ascii="宋体" w:hAnsi="宋体" w:cs="宋体"/>
          <w:b/>
          <w:bCs/>
          <w:spacing w:val="-11"/>
          <w:sz w:val="32"/>
          <w:szCs w:val="32"/>
        </w:rPr>
      </w:pPr>
    </w:p>
    <w:p>
      <w:pPr>
        <w:spacing w:line="360" w:lineRule="auto"/>
        <w:jc w:val="center"/>
        <w:rPr>
          <w:rFonts w:hint="eastAsia" w:ascii="宋体" w:hAnsi="宋体" w:cs="宋体"/>
          <w:b/>
          <w:bCs/>
          <w:spacing w:val="-11"/>
          <w:sz w:val="32"/>
          <w:szCs w:val="32"/>
        </w:rPr>
      </w:pPr>
    </w:p>
    <w:p>
      <w:pPr>
        <w:spacing w:line="360" w:lineRule="auto"/>
        <w:jc w:val="center"/>
        <w:rPr>
          <w:rFonts w:hint="eastAsia" w:ascii="宋体" w:hAnsi="宋体" w:cs="宋体"/>
          <w:b/>
          <w:bCs/>
          <w:spacing w:val="-11"/>
          <w:sz w:val="32"/>
          <w:szCs w:val="32"/>
        </w:rPr>
      </w:pPr>
    </w:p>
    <w:p>
      <w:pPr>
        <w:spacing w:line="360" w:lineRule="auto"/>
        <w:jc w:val="center"/>
        <w:rPr>
          <w:rFonts w:hint="eastAsia" w:ascii="宋体" w:hAnsi="宋体" w:cs="宋体"/>
          <w:b/>
          <w:bCs/>
          <w:spacing w:val="-11"/>
          <w:sz w:val="32"/>
          <w:szCs w:val="32"/>
        </w:rPr>
      </w:pPr>
    </w:p>
    <w:p>
      <w:pPr>
        <w:spacing w:line="360" w:lineRule="auto"/>
        <w:jc w:val="center"/>
        <w:rPr>
          <w:rFonts w:hint="eastAsia" w:ascii="宋体" w:hAnsi="宋体" w:cs="宋体"/>
          <w:b/>
          <w:bCs/>
          <w:spacing w:val="-11"/>
          <w:sz w:val="32"/>
          <w:szCs w:val="32"/>
        </w:rPr>
      </w:pPr>
    </w:p>
    <w:p>
      <w:pPr>
        <w:spacing w:line="360" w:lineRule="auto"/>
        <w:jc w:val="both"/>
        <w:rPr>
          <w:rFonts w:hint="eastAsia" w:ascii="宋体" w:hAnsi="宋体" w:cs="宋体"/>
          <w:b/>
          <w:bCs/>
          <w:sz w:val="32"/>
          <w:szCs w:val="32"/>
        </w:rPr>
      </w:pPr>
      <w:r>
        <w:rPr>
          <w:rFonts w:hint="eastAsia" w:ascii="宋体" w:hAnsi="宋体" w:cs="宋体"/>
          <w:b/>
          <w:bCs/>
          <w:spacing w:val="-11"/>
          <w:sz w:val="32"/>
          <w:szCs w:val="32"/>
        </w:rPr>
        <w:t xml:space="preserve">附录5  </w:t>
      </w:r>
      <w:bookmarkStart w:id="9" w:name="_Hlk529892988"/>
      <w:r>
        <w:rPr>
          <w:rFonts w:hint="eastAsia" w:ascii="宋体" w:hAnsi="宋体" w:cs="宋体"/>
          <w:b/>
          <w:bCs/>
          <w:spacing w:val="-11"/>
          <w:sz w:val="32"/>
          <w:szCs w:val="32"/>
        </w:rPr>
        <w:t>资格审查条件（拟委任的其他主要监理人员最低要求）</w:t>
      </w:r>
      <w:bookmarkEnd w:id="8"/>
      <w:bookmarkEnd w:id="9"/>
    </w:p>
    <w:tbl>
      <w:tblPr>
        <w:tblStyle w:val="9"/>
        <w:tblW w:w="9126" w:type="dxa"/>
        <w:jc w:val="center"/>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1281"/>
        <w:gridCol w:w="661"/>
        <w:gridCol w:w="5888"/>
        <w:gridCol w:w="1296"/>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15" w:hRule="atLeast"/>
          <w:jc w:val="center"/>
        </w:trPr>
        <w:tc>
          <w:tcPr>
            <w:tcW w:w="1281" w:type="dxa"/>
            <w:noWrap w:val="0"/>
            <w:vAlign w:val="center"/>
          </w:tcPr>
          <w:p>
            <w:pPr>
              <w:jc w:val="center"/>
              <w:rPr>
                <w:sz w:val="21"/>
                <w:szCs w:val="21"/>
                <w:highlight w:val="none"/>
                <w:lang w:bidi="ar"/>
              </w:rPr>
            </w:pPr>
            <w:bookmarkStart w:id="10" w:name="_Hlk529892997"/>
            <w:r>
              <w:rPr>
                <w:sz w:val="21"/>
                <w:szCs w:val="21"/>
                <w:highlight w:val="none"/>
                <w:lang w:bidi="ar"/>
              </w:rPr>
              <w:t>人 员</w:t>
            </w:r>
          </w:p>
        </w:tc>
        <w:tc>
          <w:tcPr>
            <w:tcW w:w="661" w:type="dxa"/>
            <w:noWrap w:val="0"/>
            <w:vAlign w:val="center"/>
          </w:tcPr>
          <w:p>
            <w:pPr>
              <w:jc w:val="center"/>
              <w:rPr>
                <w:sz w:val="21"/>
                <w:szCs w:val="21"/>
                <w:highlight w:val="none"/>
                <w:lang w:bidi="ar"/>
              </w:rPr>
            </w:pPr>
            <w:r>
              <w:rPr>
                <w:sz w:val="21"/>
                <w:szCs w:val="21"/>
                <w:highlight w:val="none"/>
                <w:lang w:bidi="ar"/>
              </w:rPr>
              <w:t>数量</w:t>
            </w:r>
          </w:p>
        </w:tc>
        <w:tc>
          <w:tcPr>
            <w:tcW w:w="5888" w:type="dxa"/>
            <w:noWrap w:val="0"/>
            <w:vAlign w:val="center"/>
          </w:tcPr>
          <w:p>
            <w:pPr>
              <w:jc w:val="center"/>
              <w:rPr>
                <w:sz w:val="21"/>
                <w:szCs w:val="21"/>
                <w:highlight w:val="none"/>
                <w:lang w:bidi="ar"/>
              </w:rPr>
            </w:pPr>
            <w:r>
              <w:rPr>
                <w:sz w:val="21"/>
                <w:szCs w:val="21"/>
                <w:highlight w:val="none"/>
                <w:lang w:bidi="ar"/>
              </w:rPr>
              <w:t>资 格 要 求</w:t>
            </w:r>
          </w:p>
        </w:tc>
        <w:tc>
          <w:tcPr>
            <w:tcW w:w="1296" w:type="dxa"/>
            <w:noWrap w:val="0"/>
            <w:vAlign w:val="center"/>
          </w:tcPr>
          <w:p>
            <w:pPr>
              <w:jc w:val="center"/>
              <w:rPr>
                <w:sz w:val="21"/>
                <w:szCs w:val="21"/>
                <w:highlight w:val="none"/>
                <w:lang w:bidi="ar"/>
              </w:rPr>
            </w:pPr>
            <w:r>
              <w:rPr>
                <w:sz w:val="21"/>
                <w:szCs w:val="21"/>
                <w:highlight w:val="none"/>
                <w:lang w:bidi="ar"/>
              </w:rPr>
              <w:t>在岗要求</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706" w:hRule="atLeast"/>
          <w:jc w:val="center"/>
        </w:trPr>
        <w:tc>
          <w:tcPr>
            <w:tcW w:w="1281" w:type="dxa"/>
            <w:noWrap w:val="0"/>
            <w:vAlign w:val="center"/>
          </w:tcPr>
          <w:p>
            <w:pPr>
              <w:jc w:val="center"/>
              <w:rPr>
                <w:sz w:val="21"/>
                <w:szCs w:val="21"/>
                <w:highlight w:val="none"/>
                <w:lang w:bidi="ar"/>
              </w:rPr>
            </w:pPr>
            <w:r>
              <w:rPr>
                <w:rFonts w:hint="eastAsia"/>
                <w:sz w:val="21"/>
                <w:szCs w:val="21"/>
                <w:highlight w:val="none"/>
                <w:lang w:bidi="ar"/>
              </w:rPr>
              <w:t>专业监理工程师</w:t>
            </w:r>
          </w:p>
        </w:tc>
        <w:tc>
          <w:tcPr>
            <w:tcW w:w="661" w:type="dxa"/>
            <w:noWrap w:val="0"/>
            <w:vAlign w:val="center"/>
          </w:tcPr>
          <w:p>
            <w:pPr>
              <w:jc w:val="center"/>
              <w:rPr>
                <w:rFonts w:hint="eastAsia" w:eastAsia="宋体"/>
                <w:sz w:val="21"/>
                <w:szCs w:val="21"/>
                <w:highlight w:val="none"/>
                <w:lang w:val="en-US" w:eastAsia="zh-CN" w:bidi="ar"/>
              </w:rPr>
            </w:pPr>
            <w:r>
              <w:rPr>
                <w:rFonts w:hint="eastAsia" w:eastAsia="宋体"/>
                <w:sz w:val="21"/>
                <w:szCs w:val="21"/>
                <w:highlight w:val="none"/>
                <w:lang w:val="en-US" w:eastAsia="zh-CN" w:bidi="ar"/>
              </w:rPr>
              <w:t>1</w:t>
            </w:r>
          </w:p>
        </w:tc>
        <w:tc>
          <w:tcPr>
            <w:tcW w:w="5888" w:type="dxa"/>
            <w:noWrap w:val="0"/>
            <w:vAlign w:val="center"/>
          </w:tcPr>
          <w:p>
            <w:pPr>
              <w:rPr>
                <w:sz w:val="21"/>
                <w:szCs w:val="21"/>
                <w:highlight w:val="none"/>
                <w:lang w:bidi="ar"/>
              </w:rPr>
            </w:pPr>
            <w:r>
              <w:rPr>
                <w:sz w:val="21"/>
                <w:szCs w:val="21"/>
                <w:highlight w:val="none"/>
                <w:lang w:bidi="ar"/>
              </w:rPr>
              <w:t>1、具有交通运输部颁发的专业监理工程师及以上资格证书</w:t>
            </w:r>
            <w:r>
              <w:rPr>
                <w:rFonts w:hint="eastAsia"/>
                <w:sz w:val="21"/>
                <w:szCs w:val="21"/>
                <w:highlight w:val="none"/>
                <w:lang w:bidi="ar"/>
              </w:rPr>
              <w:t>；</w:t>
            </w:r>
          </w:p>
          <w:p>
            <w:pPr>
              <w:rPr>
                <w:sz w:val="21"/>
                <w:szCs w:val="21"/>
                <w:highlight w:val="none"/>
                <w:lang w:bidi="ar"/>
              </w:rPr>
            </w:pPr>
            <w:r>
              <w:rPr>
                <w:sz w:val="21"/>
                <w:szCs w:val="21"/>
                <w:highlight w:val="none"/>
                <w:lang w:bidi="ar"/>
              </w:rPr>
              <w:t>2、具有中级及以上职称</w:t>
            </w:r>
            <w:r>
              <w:rPr>
                <w:rFonts w:hint="eastAsia"/>
                <w:sz w:val="21"/>
                <w:szCs w:val="21"/>
                <w:highlight w:val="none"/>
                <w:lang w:bidi="ar"/>
              </w:rPr>
              <w:t>。</w:t>
            </w:r>
            <w:r>
              <w:rPr>
                <w:sz w:val="21"/>
                <w:szCs w:val="21"/>
                <w:highlight w:val="none"/>
                <w:lang w:bidi="ar"/>
              </w:rPr>
              <w:t xml:space="preserve"> </w:t>
            </w:r>
          </w:p>
        </w:tc>
        <w:tc>
          <w:tcPr>
            <w:tcW w:w="1296" w:type="dxa"/>
            <w:vMerge w:val="restart"/>
            <w:noWrap w:val="0"/>
            <w:vAlign w:val="center"/>
          </w:tcPr>
          <w:p>
            <w:pPr>
              <w:jc w:val="center"/>
              <w:rPr>
                <w:sz w:val="21"/>
                <w:szCs w:val="21"/>
                <w:highlight w:val="none"/>
                <w:lang w:bidi="ar"/>
              </w:rPr>
            </w:pPr>
            <w:r>
              <w:rPr>
                <w:sz w:val="21"/>
                <w:szCs w:val="21"/>
                <w:highlight w:val="none"/>
                <w:lang w:bidi="ar"/>
              </w:rPr>
              <w:t>指目前未在其他项目上任职，或虽在其他项目上任职但本项目中标后能够从该项目撤离。</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796" w:hRule="atLeast"/>
          <w:jc w:val="center"/>
        </w:trPr>
        <w:tc>
          <w:tcPr>
            <w:tcW w:w="1281" w:type="dxa"/>
            <w:noWrap w:val="0"/>
            <w:vAlign w:val="center"/>
          </w:tcPr>
          <w:p>
            <w:pPr>
              <w:jc w:val="center"/>
              <w:rPr>
                <w:sz w:val="21"/>
                <w:szCs w:val="21"/>
                <w:highlight w:val="none"/>
                <w:lang w:val="en-US" w:eastAsia="zh-CN" w:bidi="ar"/>
              </w:rPr>
            </w:pPr>
            <w:r>
              <w:rPr>
                <w:rFonts w:hint="eastAsia"/>
                <w:sz w:val="21"/>
                <w:szCs w:val="21"/>
                <w:highlight w:val="none"/>
                <w:lang w:bidi="ar"/>
              </w:rPr>
              <w:t>监理员</w:t>
            </w:r>
          </w:p>
        </w:tc>
        <w:tc>
          <w:tcPr>
            <w:tcW w:w="661" w:type="dxa"/>
            <w:noWrap w:val="0"/>
            <w:vAlign w:val="center"/>
          </w:tcPr>
          <w:p>
            <w:pPr>
              <w:jc w:val="center"/>
              <w:rPr>
                <w:rFonts w:hint="eastAsia" w:eastAsia="宋体"/>
                <w:sz w:val="21"/>
                <w:szCs w:val="21"/>
                <w:highlight w:val="none"/>
                <w:lang w:val="en-US" w:eastAsia="zh-CN" w:bidi="ar"/>
              </w:rPr>
            </w:pPr>
            <w:r>
              <w:rPr>
                <w:rFonts w:hint="eastAsia" w:eastAsia="宋体"/>
                <w:sz w:val="21"/>
                <w:szCs w:val="21"/>
                <w:highlight w:val="none"/>
                <w:lang w:val="en-US" w:eastAsia="zh-CN" w:bidi="ar"/>
              </w:rPr>
              <w:t>1</w:t>
            </w:r>
          </w:p>
        </w:tc>
        <w:tc>
          <w:tcPr>
            <w:tcW w:w="5888" w:type="dxa"/>
            <w:noWrap w:val="0"/>
            <w:vAlign w:val="center"/>
          </w:tcPr>
          <w:p>
            <w:pPr>
              <w:rPr>
                <w:sz w:val="21"/>
                <w:szCs w:val="21"/>
                <w:highlight w:val="none"/>
                <w:lang w:val="en-US" w:eastAsia="zh-CN" w:bidi="ar"/>
              </w:rPr>
            </w:pPr>
            <w:r>
              <w:rPr>
                <w:rFonts w:hint="eastAsia" w:ascii="仿宋" w:hAnsi="仿宋" w:eastAsia="仿宋" w:cs="仿宋"/>
                <w:kern w:val="2"/>
                <w:sz w:val="24"/>
                <w:szCs w:val="24"/>
                <w:highlight w:val="none"/>
              </w:rPr>
              <w:t>具有交通运输主管部门颁发的监理员培训证书。具有交通运输主管部门颁发的监理员培训证书。</w:t>
            </w:r>
            <w:r>
              <w:rPr>
                <w:sz w:val="21"/>
                <w:szCs w:val="21"/>
                <w:highlight w:val="none"/>
                <w:lang w:bidi="ar"/>
              </w:rPr>
              <w:t xml:space="preserve"> </w:t>
            </w:r>
          </w:p>
        </w:tc>
        <w:tc>
          <w:tcPr>
            <w:tcW w:w="1296" w:type="dxa"/>
            <w:vMerge w:val="continue"/>
            <w:noWrap w:val="0"/>
            <w:vAlign w:val="center"/>
          </w:tcPr>
          <w:p>
            <w:pPr>
              <w:jc w:val="center"/>
              <w:rPr>
                <w:sz w:val="21"/>
                <w:szCs w:val="21"/>
                <w:highlight w:val="none"/>
                <w:lang w:bidi="ar"/>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796" w:hRule="atLeast"/>
          <w:jc w:val="center"/>
        </w:trPr>
        <w:tc>
          <w:tcPr>
            <w:tcW w:w="1281" w:type="dxa"/>
            <w:noWrap w:val="0"/>
            <w:vAlign w:val="center"/>
          </w:tcPr>
          <w:p>
            <w:pPr>
              <w:jc w:val="center"/>
              <w:rPr>
                <w:sz w:val="21"/>
                <w:szCs w:val="21"/>
                <w:lang w:bidi="ar"/>
              </w:rPr>
            </w:pPr>
          </w:p>
        </w:tc>
        <w:tc>
          <w:tcPr>
            <w:tcW w:w="661" w:type="dxa"/>
            <w:noWrap w:val="0"/>
            <w:vAlign w:val="center"/>
          </w:tcPr>
          <w:p>
            <w:pPr>
              <w:jc w:val="center"/>
              <w:rPr>
                <w:sz w:val="21"/>
                <w:szCs w:val="21"/>
                <w:lang w:bidi="ar"/>
              </w:rPr>
            </w:pPr>
          </w:p>
        </w:tc>
        <w:tc>
          <w:tcPr>
            <w:tcW w:w="5888" w:type="dxa"/>
            <w:noWrap w:val="0"/>
            <w:vAlign w:val="center"/>
          </w:tcPr>
          <w:p>
            <w:pPr>
              <w:rPr>
                <w:sz w:val="21"/>
                <w:szCs w:val="21"/>
                <w:lang w:bidi="ar"/>
              </w:rPr>
            </w:pPr>
          </w:p>
        </w:tc>
        <w:tc>
          <w:tcPr>
            <w:tcW w:w="1296" w:type="dxa"/>
            <w:vMerge w:val="continue"/>
            <w:noWrap w:val="0"/>
            <w:vAlign w:val="center"/>
          </w:tcPr>
          <w:p>
            <w:pPr>
              <w:jc w:val="center"/>
              <w:rPr>
                <w:sz w:val="21"/>
                <w:szCs w:val="21"/>
                <w:lang w:bidi="ar"/>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778" w:hRule="atLeast"/>
          <w:jc w:val="center"/>
        </w:trPr>
        <w:tc>
          <w:tcPr>
            <w:tcW w:w="1281" w:type="dxa"/>
            <w:noWrap w:val="0"/>
            <w:vAlign w:val="center"/>
          </w:tcPr>
          <w:p>
            <w:pPr>
              <w:jc w:val="center"/>
              <w:rPr>
                <w:sz w:val="21"/>
                <w:szCs w:val="21"/>
                <w:lang w:bidi="ar"/>
              </w:rPr>
            </w:pPr>
          </w:p>
        </w:tc>
        <w:tc>
          <w:tcPr>
            <w:tcW w:w="661" w:type="dxa"/>
            <w:noWrap w:val="0"/>
            <w:vAlign w:val="center"/>
          </w:tcPr>
          <w:p>
            <w:pPr>
              <w:jc w:val="center"/>
              <w:rPr>
                <w:sz w:val="21"/>
                <w:szCs w:val="21"/>
                <w:lang w:bidi="ar"/>
              </w:rPr>
            </w:pPr>
          </w:p>
        </w:tc>
        <w:tc>
          <w:tcPr>
            <w:tcW w:w="5888" w:type="dxa"/>
            <w:noWrap w:val="0"/>
            <w:vAlign w:val="center"/>
          </w:tcPr>
          <w:p>
            <w:pPr>
              <w:rPr>
                <w:sz w:val="21"/>
                <w:szCs w:val="21"/>
                <w:lang w:bidi="ar"/>
              </w:rPr>
            </w:pPr>
          </w:p>
        </w:tc>
        <w:tc>
          <w:tcPr>
            <w:tcW w:w="1296" w:type="dxa"/>
            <w:vMerge w:val="continue"/>
            <w:noWrap w:val="0"/>
            <w:vAlign w:val="center"/>
          </w:tcPr>
          <w:p>
            <w:pPr>
              <w:jc w:val="center"/>
              <w:rPr>
                <w:sz w:val="21"/>
                <w:szCs w:val="21"/>
                <w:lang w:bidi="ar"/>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673" w:hRule="atLeast"/>
          <w:jc w:val="center"/>
        </w:trPr>
        <w:tc>
          <w:tcPr>
            <w:tcW w:w="1281" w:type="dxa"/>
            <w:noWrap w:val="0"/>
            <w:vAlign w:val="center"/>
          </w:tcPr>
          <w:p>
            <w:pPr>
              <w:jc w:val="center"/>
              <w:rPr>
                <w:sz w:val="21"/>
                <w:szCs w:val="21"/>
                <w:lang w:bidi="ar"/>
              </w:rPr>
            </w:pPr>
          </w:p>
        </w:tc>
        <w:tc>
          <w:tcPr>
            <w:tcW w:w="661" w:type="dxa"/>
            <w:noWrap w:val="0"/>
            <w:vAlign w:val="center"/>
          </w:tcPr>
          <w:p>
            <w:pPr>
              <w:jc w:val="center"/>
              <w:rPr>
                <w:sz w:val="21"/>
                <w:szCs w:val="21"/>
                <w:lang w:bidi="ar"/>
              </w:rPr>
            </w:pPr>
          </w:p>
        </w:tc>
        <w:tc>
          <w:tcPr>
            <w:tcW w:w="5888" w:type="dxa"/>
            <w:noWrap w:val="0"/>
            <w:vAlign w:val="center"/>
          </w:tcPr>
          <w:p>
            <w:pPr>
              <w:rPr>
                <w:sz w:val="21"/>
                <w:szCs w:val="21"/>
                <w:lang w:bidi="ar"/>
              </w:rPr>
            </w:pPr>
          </w:p>
        </w:tc>
        <w:tc>
          <w:tcPr>
            <w:tcW w:w="1296" w:type="dxa"/>
            <w:vMerge w:val="continue"/>
            <w:noWrap w:val="0"/>
            <w:vAlign w:val="center"/>
          </w:tcPr>
          <w:p>
            <w:pPr>
              <w:jc w:val="center"/>
              <w:rPr>
                <w:sz w:val="21"/>
                <w:szCs w:val="21"/>
                <w:lang w:bidi="ar"/>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698" w:hRule="atLeast"/>
          <w:jc w:val="center"/>
        </w:trPr>
        <w:tc>
          <w:tcPr>
            <w:tcW w:w="1281" w:type="dxa"/>
            <w:noWrap w:val="0"/>
            <w:vAlign w:val="center"/>
          </w:tcPr>
          <w:p>
            <w:pPr>
              <w:jc w:val="center"/>
              <w:rPr>
                <w:sz w:val="21"/>
                <w:szCs w:val="21"/>
                <w:lang w:bidi="ar"/>
              </w:rPr>
            </w:pPr>
          </w:p>
        </w:tc>
        <w:tc>
          <w:tcPr>
            <w:tcW w:w="661" w:type="dxa"/>
            <w:noWrap w:val="0"/>
            <w:vAlign w:val="center"/>
          </w:tcPr>
          <w:p>
            <w:pPr>
              <w:jc w:val="center"/>
              <w:rPr>
                <w:sz w:val="21"/>
                <w:szCs w:val="21"/>
                <w:lang w:bidi="ar"/>
              </w:rPr>
            </w:pPr>
          </w:p>
        </w:tc>
        <w:tc>
          <w:tcPr>
            <w:tcW w:w="5888" w:type="dxa"/>
            <w:noWrap w:val="0"/>
            <w:vAlign w:val="center"/>
          </w:tcPr>
          <w:p>
            <w:pPr>
              <w:rPr>
                <w:sz w:val="21"/>
                <w:szCs w:val="21"/>
                <w:lang w:bidi="ar"/>
              </w:rPr>
            </w:pPr>
          </w:p>
        </w:tc>
        <w:tc>
          <w:tcPr>
            <w:tcW w:w="1296" w:type="dxa"/>
            <w:vMerge w:val="continue"/>
            <w:noWrap w:val="0"/>
            <w:vAlign w:val="center"/>
          </w:tcPr>
          <w:p>
            <w:pPr>
              <w:jc w:val="center"/>
              <w:rPr>
                <w:sz w:val="21"/>
                <w:szCs w:val="21"/>
                <w:lang w:bidi="ar"/>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1281" w:type="dxa"/>
            <w:noWrap w:val="0"/>
            <w:vAlign w:val="center"/>
          </w:tcPr>
          <w:p>
            <w:pPr>
              <w:jc w:val="center"/>
              <w:rPr>
                <w:sz w:val="21"/>
                <w:szCs w:val="21"/>
                <w:lang w:bidi="ar"/>
              </w:rPr>
            </w:pPr>
          </w:p>
        </w:tc>
        <w:tc>
          <w:tcPr>
            <w:tcW w:w="661" w:type="dxa"/>
            <w:noWrap w:val="0"/>
            <w:vAlign w:val="center"/>
          </w:tcPr>
          <w:p>
            <w:pPr>
              <w:jc w:val="center"/>
              <w:rPr>
                <w:sz w:val="21"/>
                <w:szCs w:val="21"/>
                <w:lang w:bidi="ar"/>
              </w:rPr>
            </w:pPr>
          </w:p>
        </w:tc>
        <w:tc>
          <w:tcPr>
            <w:tcW w:w="5888" w:type="dxa"/>
            <w:noWrap w:val="0"/>
            <w:vAlign w:val="center"/>
          </w:tcPr>
          <w:p>
            <w:pPr>
              <w:rPr>
                <w:sz w:val="21"/>
                <w:szCs w:val="21"/>
                <w:lang w:bidi="ar"/>
              </w:rPr>
            </w:pPr>
          </w:p>
        </w:tc>
        <w:tc>
          <w:tcPr>
            <w:tcW w:w="1296" w:type="dxa"/>
            <w:vMerge w:val="continue"/>
            <w:noWrap w:val="0"/>
            <w:vAlign w:val="center"/>
          </w:tcPr>
          <w:p>
            <w:pPr>
              <w:jc w:val="center"/>
              <w:rPr>
                <w:sz w:val="21"/>
                <w:szCs w:val="21"/>
                <w:lang w:bidi="ar"/>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910" w:hRule="atLeast"/>
          <w:jc w:val="center"/>
        </w:trPr>
        <w:tc>
          <w:tcPr>
            <w:tcW w:w="1281" w:type="dxa"/>
            <w:noWrap w:val="0"/>
            <w:vAlign w:val="center"/>
          </w:tcPr>
          <w:p>
            <w:pPr>
              <w:jc w:val="center"/>
              <w:rPr>
                <w:sz w:val="21"/>
                <w:szCs w:val="21"/>
                <w:lang w:bidi="ar"/>
              </w:rPr>
            </w:pPr>
          </w:p>
        </w:tc>
        <w:tc>
          <w:tcPr>
            <w:tcW w:w="661" w:type="dxa"/>
            <w:noWrap w:val="0"/>
            <w:vAlign w:val="center"/>
          </w:tcPr>
          <w:p>
            <w:pPr>
              <w:jc w:val="center"/>
              <w:rPr>
                <w:sz w:val="21"/>
                <w:szCs w:val="21"/>
                <w:lang w:bidi="ar"/>
              </w:rPr>
            </w:pPr>
          </w:p>
        </w:tc>
        <w:tc>
          <w:tcPr>
            <w:tcW w:w="5888" w:type="dxa"/>
            <w:noWrap w:val="0"/>
            <w:vAlign w:val="center"/>
          </w:tcPr>
          <w:p>
            <w:pPr>
              <w:rPr>
                <w:sz w:val="21"/>
                <w:szCs w:val="21"/>
                <w:lang w:bidi="ar"/>
              </w:rPr>
            </w:pPr>
          </w:p>
        </w:tc>
        <w:tc>
          <w:tcPr>
            <w:tcW w:w="1296" w:type="dxa"/>
            <w:vMerge w:val="continue"/>
            <w:noWrap w:val="0"/>
            <w:vAlign w:val="center"/>
          </w:tcPr>
          <w:p>
            <w:pPr>
              <w:jc w:val="center"/>
              <w:rPr>
                <w:sz w:val="21"/>
                <w:szCs w:val="21"/>
                <w:lang w:bidi="ar"/>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1022" w:hRule="atLeast"/>
          <w:jc w:val="center"/>
        </w:trPr>
        <w:tc>
          <w:tcPr>
            <w:tcW w:w="1281" w:type="dxa"/>
            <w:noWrap w:val="0"/>
            <w:vAlign w:val="center"/>
          </w:tcPr>
          <w:p>
            <w:pPr>
              <w:jc w:val="center"/>
              <w:rPr>
                <w:sz w:val="21"/>
                <w:szCs w:val="21"/>
                <w:lang w:bidi="ar"/>
              </w:rPr>
            </w:pPr>
          </w:p>
        </w:tc>
        <w:tc>
          <w:tcPr>
            <w:tcW w:w="661" w:type="dxa"/>
            <w:noWrap w:val="0"/>
            <w:vAlign w:val="center"/>
          </w:tcPr>
          <w:p>
            <w:pPr>
              <w:jc w:val="center"/>
              <w:rPr>
                <w:sz w:val="21"/>
                <w:szCs w:val="21"/>
                <w:lang w:bidi="ar"/>
              </w:rPr>
            </w:pPr>
          </w:p>
        </w:tc>
        <w:tc>
          <w:tcPr>
            <w:tcW w:w="5888" w:type="dxa"/>
            <w:noWrap w:val="0"/>
            <w:vAlign w:val="center"/>
          </w:tcPr>
          <w:p>
            <w:pPr>
              <w:rPr>
                <w:sz w:val="21"/>
                <w:szCs w:val="21"/>
                <w:lang w:bidi="ar"/>
              </w:rPr>
            </w:pPr>
          </w:p>
        </w:tc>
        <w:tc>
          <w:tcPr>
            <w:tcW w:w="1296" w:type="dxa"/>
            <w:vMerge w:val="continue"/>
            <w:noWrap w:val="0"/>
            <w:vAlign w:val="center"/>
          </w:tcPr>
          <w:p>
            <w:pPr>
              <w:jc w:val="center"/>
              <w:rPr>
                <w:sz w:val="21"/>
                <w:szCs w:val="21"/>
                <w:lang w:bidi="ar"/>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792" w:hRule="atLeast"/>
          <w:jc w:val="center"/>
        </w:trPr>
        <w:tc>
          <w:tcPr>
            <w:tcW w:w="1281" w:type="dxa"/>
            <w:noWrap w:val="0"/>
            <w:vAlign w:val="center"/>
          </w:tcPr>
          <w:p>
            <w:pPr>
              <w:jc w:val="center"/>
              <w:rPr>
                <w:sz w:val="21"/>
                <w:szCs w:val="21"/>
                <w:lang w:bidi="ar"/>
              </w:rPr>
            </w:pPr>
          </w:p>
        </w:tc>
        <w:tc>
          <w:tcPr>
            <w:tcW w:w="661" w:type="dxa"/>
            <w:noWrap w:val="0"/>
            <w:vAlign w:val="center"/>
          </w:tcPr>
          <w:p>
            <w:pPr>
              <w:jc w:val="center"/>
              <w:rPr>
                <w:sz w:val="21"/>
                <w:szCs w:val="21"/>
                <w:lang w:bidi="ar"/>
              </w:rPr>
            </w:pPr>
          </w:p>
        </w:tc>
        <w:tc>
          <w:tcPr>
            <w:tcW w:w="5888" w:type="dxa"/>
            <w:noWrap w:val="0"/>
            <w:vAlign w:val="center"/>
          </w:tcPr>
          <w:p>
            <w:pPr>
              <w:rPr>
                <w:sz w:val="21"/>
                <w:szCs w:val="21"/>
                <w:lang w:bidi="ar"/>
              </w:rPr>
            </w:pPr>
          </w:p>
        </w:tc>
        <w:tc>
          <w:tcPr>
            <w:tcW w:w="1296" w:type="dxa"/>
            <w:vMerge w:val="continue"/>
            <w:noWrap w:val="0"/>
            <w:vAlign w:val="center"/>
          </w:tcPr>
          <w:p>
            <w:pPr>
              <w:jc w:val="center"/>
              <w:rPr>
                <w:sz w:val="21"/>
                <w:szCs w:val="21"/>
                <w:lang w:bidi="ar"/>
              </w:rPr>
            </w:pPr>
          </w:p>
        </w:tc>
      </w:tr>
      <w:bookmarkEnd w:id="10"/>
    </w:tbl>
    <w:p>
      <w:pPr>
        <w:spacing w:line="280" w:lineRule="atLeast"/>
        <w:rPr>
          <w:rFonts w:hint="eastAsia" w:ascii="仿宋_GB2312" w:hAnsi="仿宋_GB2312" w:eastAsia="仿宋_GB2312" w:cs="仿宋_GB2312"/>
          <w:szCs w:val="21"/>
        </w:rPr>
      </w:pPr>
    </w:p>
    <w:p>
      <w:pPr>
        <w:spacing w:line="360" w:lineRule="auto"/>
        <w:jc w:val="both"/>
        <w:rPr>
          <w:rFonts w:hint="eastAsia" w:ascii="仿宋_GB2312" w:hAnsi="仿宋_GB2312" w:eastAsia="仿宋_GB2312" w:cs="仿宋_GB2312"/>
          <w:b/>
          <w:bCs/>
          <w:sz w:val="24"/>
          <w:szCs w:val="24"/>
          <w:lang w:bidi="ar"/>
        </w:rPr>
      </w:pPr>
      <w:r>
        <w:rPr>
          <w:rFonts w:hint="eastAsia" w:ascii="仿宋_GB2312" w:hAnsi="仿宋_GB2312" w:eastAsia="仿宋_GB2312" w:cs="仿宋_GB2312"/>
          <w:b/>
          <w:bCs/>
          <w:sz w:val="24"/>
          <w:szCs w:val="24"/>
          <w:lang w:bidi="ar"/>
        </w:rPr>
        <w:t xml:space="preserve">注: </w:t>
      </w:r>
    </w:p>
    <w:p>
      <w:pPr>
        <w:spacing w:line="288"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1.要求拟投入本项目的其他主要监理人员必须为投标人自有人员，且身体健康；</w:t>
      </w:r>
    </w:p>
    <w:p>
      <w:pPr>
        <w:spacing w:line="288"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拟委任的其他主要监理人员资历表”应附其他主要监理人员的身份证、职称资格证书和资格审查条件所要求的其他相关证书（如公路工程监理工程师证书等）的彩色复印件，以及投标人所属社保机构出具的拟委任的其他主要监理人员的近</w:t>
      </w:r>
      <w:r>
        <w:rPr>
          <w:rFonts w:hint="eastAsia" w:ascii="仿宋_GB2312" w:hAnsi="仿宋_GB2312" w:eastAsia="仿宋_GB2312" w:cs="仿宋_GB2312"/>
          <w:sz w:val="24"/>
          <w:szCs w:val="24"/>
          <w:lang w:val="en-US" w:eastAsia="zh-CN" w:bidi="ar"/>
        </w:rPr>
        <w:t>半</w:t>
      </w:r>
      <w:r>
        <w:rPr>
          <w:rFonts w:hint="eastAsia" w:ascii="仿宋_GB2312" w:hAnsi="仿宋_GB2312" w:eastAsia="仿宋_GB2312" w:cs="仿宋_GB2312"/>
          <w:sz w:val="24"/>
          <w:szCs w:val="24"/>
          <w:lang w:bidi="ar"/>
        </w:rPr>
        <w:t>年连续社保缴费证明或其他能够证明拟委任的其他主要监理人员参加社保的有效证明材料彩色复印件。</w:t>
      </w:r>
    </w:p>
    <w:p>
      <w:pPr>
        <w:spacing w:line="288"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如拟委任的其他主要监理人员目前仍在其他项目上任职，则投标人应提供由该项目委托人出具的、承诺其他主要监理人员能够从该项目撤离的书面证明材料原件，证明材料应说明任职项目是否已完成交工验收。</w:t>
      </w:r>
    </w:p>
    <w:p>
      <w:pPr>
        <w:spacing w:line="288"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3.投标人拟投入的其他主要监理人员必须在投标文件中进行填报。</w:t>
      </w:r>
    </w:p>
    <w:p>
      <w:pPr>
        <w:pStyle w:val="4"/>
        <w:adjustRightInd w:val="0"/>
        <w:spacing w:before="0" w:after="0" w:line="240" w:lineRule="auto"/>
        <w:contextualSpacing/>
        <w:jc w:val="center"/>
        <w:rPr>
          <w:rFonts w:ascii="宋体" w:hAnsi="宋体" w:cs="宋体"/>
          <w:sz w:val="32"/>
          <w:szCs w:val="32"/>
        </w:rPr>
      </w:pPr>
      <w:r>
        <w:br w:type="page"/>
      </w:r>
      <w:bookmarkStart w:id="11" w:name="_Toc1153"/>
      <w:r>
        <w:rPr>
          <w:rFonts w:ascii="宋体" w:hAnsi="宋体" w:cs="宋体"/>
          <w:sz w:val="32"/>
          <w:szCs w:val="32"/>
        </w:rPr>
        <w:t>附录</w:t>
      </w:r>
      <w:r>
        <w:rPr>
          <w:rFonts w:hint="eastAsia" w:ascii="宋体" w:hAnsi="宋体" w:cs="宋体"/>
          <w:sz w:val="32"/>
          <w:szCs w:val="32"/>
        </w:rPr>
        <w:t xml:space="preserve">6 </w:t>
      </w:r>
      <w:r>
        <w:rPr>
          <w:rFonts w:ascii="宋体" w:hAnsi="宋体" w:cs="宋体"/>
          <w:sz w:val="32"/>
          <w:szCs w:val="32"/>
        </w:rPr>
        <w:t>资格审查条件</w:t>
      </w:r>
      <w:r>
        <w:rPr>
          <w:rFonts w:hint="eastAsia" w:ascii="宋体" w:hAnsi="宋体" w:cs="宋体"/>
          <w:sz w:val="32"/>
          <w:szCs w:val="32"/>
        </w:rPr>
        <w:t>（财务要求）</w:t>
      </w:r>
      <w:bookmarkEnd w:id="11"/>
    </w:p>
    <w:p>
      <w:pPr>
        <w:adjustRightInd w:val="0"/>
        <w:contextualSpacing/>
        <w:jc w:val="center"/>
        <w:rPr>
          <w:rFonts w:hint="eastAsia"/>
          <w:sz w:val="18"/>
        </w:rPr>
      </w:pPr>
    </w:p>
    <w:tbl>
      <w:tblPr>
        <w:tblStyle w:val="9"/>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7974" w:type="dxa"/>
            <w:noWrap w:val="0"/>
            <w:vAlign w:val="center"/>
          </w:tcPr>
          <w:p>
            <w:pPr>
              <w:tabs>
                <w:tab w:val="left" w:pos="180"/>
              </w:tabs>
              <w:adjustRightInd w:val="0"/>
              <w:spacing w:line="360" w:lineRule="exact"/>
              <w:contextualSpacing/>
              <w:jc w:val="center"/>
              <w:rPr>
                <w:rFonts w:hAnsi="宋体"/>
                <w:b/>
                <w:sz w:val="21"/>
                <w:szCs w:val="21"/>
              </w:rPr>
            </w:pPr>
            <w:r>
              <w:rPr>
                <w:rFonts w:hint="eastAsia" w:hAnsi="宋体"/>
                <w:b/>
                <w:sz w:val="21"/>
                <w:szCs w:val="21"/>
                <w:lang w:eastAsia="zh-CN"/>
              </w:rPr>
              <w:t>财务</w:t>
            </w:r>
            <w:r>
              <w:rPr>
                <w:rFonts w:hAnsi="宋体"/>
                <w:b/>
                <w:sz w:val="21"/>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2" w:hRule="atLeast"/>
          <w:jc w:val="center"/>
        </w:trPr>
        <w:tc>
          <w:tcPr>
            <w:tcW w:w="7974" w:type="dxa"/>
            <w:noWrap w:val="0"/>
            <w:vAlign w:val="center"/>
          </w:tcPr>
          <w:p>
            <w:pPr>
              <w:pStyle w:val="6"/>
              <w:adjustRightInd w:val="0"/>
              <w:spacing w:after="0" w:line="360" w:lineRule="exact"/>
              <w:ind w:left="100" w:leftChars="50" w:right="100" w:rightChars="50"/>
              <w:contextualSpacing/>
              <w:jc w:val="center"/>
              <w:rPr>
                <w:rFonts w:hint="eastAsia" w:eastAsia="宋体"/>
                <w:szCs w:val="21"/>
                <w:lang w:eastAsia="zh-CN"/>
              </w:rPr>
            </w:pPr>
            <w:r>
              <w:rPr>
                <w:rFonts w:hint="eastAsia"/>
                <w:kern w:val="0"/>
                <w:szCs w:val="21"/>
                <w:lang w:val="en-US" w:eastAsia="zh-CN" w:bidi="ar"/>
              </w:rPr>
              <w:t>/</w:t>
            </w:r>
          </w:p>
        </w:tc>
      </w:tr>
    </w:tbl>
    <w:p>
      <w:pPr>
        <w:adjustRightInd w:val="0"/>
        <w:contextualSpacing/>
        <w:rPr>
          <w:rFonts w:hint="eastAsia"/>
        </w:rPr>
      </w:pPr>
    </w:p>
    <w:p>
      <w:pPr>
        <w:adjustRightInd w:val="0"/>
        <w:contextualSpacing/>
      </w:pPr>
    </w:p>
    <w:p>
      <w:pPr>
        <w:pStyle w:val="5"/>
        <w:rPr>
          <w:lang w:eastAsia="zh-CN"/>
        </w:rPr>
      </w:pPr>
    </w:p>
    <w:p>
      <w:pPr>
        <w:spacing w:line="360" w:lineRule="auto"/>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注：</w:t>
      </w:r>
    </w:p>
    <w:p>
      <w:pPr>
        <w:spacing w:line="360" w:lineRule="auto"/>
        <w:ind w:firstLine="480" w:firstLineChars="200"/>
        <w:jc w:val="both"/>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投标人应附财务报表彩色扫描件（包括财务报表说明、资产负债表、现金流量表、利润及利润分配表）及由独立于投标人的会计师事务所出具的相应年度审计报告彩色扫描件。若提供的财务报表不清晰，将会导致其资格审查不予通过。</w:t>
      </w:r>
    </w:p>
    <w:p>
      <w:pPr>
        <w:sectPr>
          <w:type w:val="nextColumn"/>
          <w:pgSz w:w="11907" w:h="16840"/>
          <w:pgMar w:top="1418" w:right="1418" w:bottom="1418" w:left="1588" w:header="851" w:footer="992" w:gutter="0"/>
          <w:pgBorders>
            <w:top w:val="none" w:sz="0" w:space="0"/>
            <w:left w:val="none" w:sz="0" w:space="0"/>
            <w:bottom w:val="none" w:sz="0" w:space="0"/>
            <w:right w:val="none" w:sz="0" w:space="0"/>
          </w:pgBorders>
          <w:cols w:space="720" w:num="1"/>
          <w:docGrid w:linePitch="360" w:charSpace="0"/>
        </w:sectPr>
      </w:pPr>
    </w:p>
    <w:p>
      <w:pPr>
        <w:pStyle w:val="4"/>
        <w:adjustRightInd w:val="0"/>
        <w:spacing w:before="0" w:after="0" w:line="240" w:lineRule="auto"/>
        <w:contextualSpacing/>
        <w:rPr>
          <w:rFonts w:hint="eastAsia" w:ascii="宋体" w:hAnsi="宋体" w:cs="宋体"/>
        </w:rPr>
      </w:pPr>
      <w:bookmarkStart w:id="12" w:name="_Toc24039"/>
      <w:r>
        <w:rPr>
          <w:rFonts w:hint="eastAsia" w:ascii="宋体" w:hAnsi="宋体" w:cs="宋体"/>
        </w:rPr>
        <w:t>评标办法前附表</w:t>
      </w:r>
      <w:bookmarkEnd w:id="12"/>
    </w:p>
    <w:tbl>
      <w:tblPr>
        <w:tblStyle w:val="9"/>
        <w:tblW w:w="9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076"/>
        <w:gridCol w:w="1143"/>
        <w:gridCol w:w="69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7" w:hRule="atLeast"/>
          <w:tblHeader/>
          <w:jc w:val="center"/>
        </w:trPr>
        <w:tc>
          <w:tcPr>
            <w:tcW w:w="2219" w:type="dxa"/>
            <w:gridSpan w:val="2"/>
            <w:noWrap w:val="0"/>
            <w:vAlign w:val="center"/>
          </w:tcPr>
          <w:p>
            <w:pPr>
              <w:adjustRightInd w:val="0"/>
              <w:spacing w:line="360" w:lineRule="exact"/>
              <w:contextualSpacing/>
              <w:jc w:val="center"/>
              <w:rPr>
                <w:rFonts w:hint="eastAsia" w:ascii="宋体" w:hAnsi="宋体" w:cs="黑体"/>
                <w:b/>
                <w:bCs/>
                <w:sz w:val="28"/>
                <w:szCs w:val="28"/>
              </w:rPr>
            </w:pPr>
            <w:r>
              <w:rPr>
                <w:rFonts w:hint="eastAsia" w:ascii="宋体" w:hAnsi="宋体" w:cs="宋体"/>
                <w:b/>
                <w:bCs/>
                <w:sz w:val="21"/>
                <w:szCs w:val="21"/>
              </w:rPr>
              <w:t>条款号</w:t>
            </w:r>
          </w:p>
        </w:tc>
        <w:tc>
          <w:tcPr>
            <w:tcW w:w="6995" w:type="dxa"/>
            <w:noWrap w:val="0"/>
            <w:vAlign w:val="center"/>
          </w:tcPr>
          <w:p>
            <w:pPr>
              <w:adjustRightInd w:val="0"/>
              <w:spacing w:line="360" w:lineRule="exact"/>
              <w:contextualSpacing/>
              <w:jc w:val="center"/>
              <w:rPr>
                <w:rFonts w:hint="eastAsia" w:ascii="宋体" w:hAnsi="宋体" w:cs="黑体"/>
                <w:b/>
                <w:bCs/>
                <w:sz w:val="28"/>
                <w:szCs w:val="28"/>
              </w:rPr>
            </w:pPr>
            <w:r>
              <w:rPr>
                <w:rFonts w:hint="eastAsia" w:ascii="宋体" w:hAnsi="宋体" w:cs="宋体"/>
                <w:b/>
                <w:bCs/>
                <w:sz w:val="21"/>
                <w:szCs w:val="21"/>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872" w:hRule="atLeast"/>
          <w:jc w:val="center"/>
        </w:trPr>
        <w:tc>
          <w:tcPr>
            <w:tcW w:w="1076" w:type="dxa"/>
            <w:noWrap w:val="0"/>
            <w:vAlign w:val="center"/>
          </w:tcPr>
          <w:p>
            <w:pPr>
              <w:adjustRightInd w:val="0"/>
              <w:spacing w:line="360" w:lineRule="exact"/>
              <w:contextualSpacing/>
              <w:jc w:val="center"/>
              <w:rPr>
                <w:rFonts w:hint="eastAsia" w:ascii="宋体" w:hAnsi="宋体" w:cs="宋体"/>
                <w:sz w:val="21"/>
                <w:szCs w:val="21"/>
              </w:rPr>
            </w:pPr>
            <w:r>
              <w:rPr>
                <w:rFonts w:ascii="宋体" w:hAnsi="宋体" w:cs="宋体"/>
                <w:sz w:val="21"/>
                <w:szCs w:val="21"/>
              </w:rPr>
              <w:t>1</w:t>
            </w:r>
          </w:p>
        </w:tc>
        <w:tc>
          <w:tcPr>
            <w:tcW w:w="1143" w:type="dxa"/>
            <w:noWrap w:val="0"/>
            <w:vAlign w:val="center"/>
          </w:tcPr>
          <w:p>
            <w:pPr>
              <w:adjustRightInd w:val="0"/>
              <w:spacing w:line="360" w:lineRule="exact"/>
              <w:contextualSpacing/>
              <w:jc w:val="center"/>
              <w:rPr>
                <w:rFonts w:hint="eastAsia" w:ascii="宋体" w:hAnsi="宋体" w:cs="宋体"/>
                <w:sz w:val="21"/>
                <w:szCs w:val="21"/>
              </w:rPr>
            </w:pPr>
            <w:r>
              <w:rPr>
                <w:rFonts w:hint="eastAsia" w:ascii="宋体" w:hAnsi="宋体" w:cs="宋体"/>
                <w:sz w:val="21"/>
                <w:szCs w:val="21"/>
              </w:rPr>
              <w:t>评标方法</w:t>
            </w:r>
          </w:p>
        </w:tc>
        <w:tc>
          <w:tcPr>
            <w:tcW w:w="6995" w:type="dxa"/>
            <w:noWrap w:val="0"/>
            <w:vAlign w:val="center"/>
          </w:tcPr>
          <w:p>
            <w:pPr>
              <w:pStyle w:val="11"/>
              <w:adjustRightInd w:val="0"/>
              <w:spacing w:line="400" w:lineRule="exact"/>
              <w:ind w:left="200" w:leftChars="100" w:firstLine="210" w:firstLineChars="100"/>
              <w:contextualSpacing/>
              <w:rPr>
                <w:rFonts w:hint="eastAsia" w:ascii="宋体" w:hAnsi="宋体"/>
                <w:sz w:val="21"/>
                <w:szCs w:val="21"/>
                <w:lang w:eastAsia="zh-CN"/>
              </w:rPr>
            </w:pPr>
            <w:r>
              <w:rPr>
                <w:rFonts w:hint="eastAsia" w:ascii="宋体" w:hAnsi="宋体"/>
                <w:sz w:val="21"/>
                <w:szCs w:val="21"/>
                <w:lang w:eastAsia="zh-CN"/>
              </w:rPr>
              <w:t>综合评分相等时，评标委员会依次按照以下优先顺序推荐中标候选人或确定中标人：</w:t>
            </w:r>
          </w:p>
          <w:p>
            <w:pPr>
              <w:pStyle w:val="11"/>
              <w:adjustRightInd w:val="0"/>
              <w:spacing w:line="400" w:lineRule="exact"/>
              <w:ind w:left="200" w:leftChars="100" w:firstLine="210" w:firstLineChars="100"/>
              <w:contextualSpacing/>
              <w:rPr>
                <w:rFonts w:hint="eastAsia" w:ascii="宋体" w:hAnsi="宋体"/>
                <w:sz w:val="21"/>
                <w:szCs w:val="21"/>
                <w:lang w:eastAsia="zh-CN"/>
              </w:rPr>
            </w:pPr>
            <w:r>
              <w:rPr>
                <w:rFonts w:hint="eastAsia" w:ascii="宋体" w:hAnsi="宋体"/>
                <w:sz w:val="21"/>
                <w:szCs w:val="21"/>
                <w:lang w:eastAsia="zh-CN"/>
              </w:rPr>
              <w:t>（1）评标价低的投标人优先；</w:t>
            </w:r>
          </w:p>
          <w:p>
            <w:pPr>
              <w:pStyle w:val="11"/>
              <w:adjustRightInd w:val="0"/>
              <w:spacing w:line="400" w:lineRule="exact"/>
              <w:ind w:left="200" w:leftChars="100" w:firstLine="210" w:firstLineChars="100"/>
              <w:contextualSpacing/>
              <w:rPr>
                <w:rFonts w:hint="eastAsia" w:ascii="宋体" w:hAnsi="宋体"/>
                <w:sz w:val="21"/>
                <w:szCs w:val="21"/>
                <w:lang w:eastAsia="zh-CN"/>
              </w:rPr>
            </w:pPr>
            <w:r>
              <w:rPr>
                <w:rFonts w:hint="eastAsia" w:ascii="宋体" w:hAnsi="宋体"/>
                <w:sz w:val="21"/>
                <w:szCs w:val="21"/>
                <w:lang w:eastAsia="zh-CN"/>
              </w:rPr>
              <w:t>（2）被</w:t>
            </w:r>
            <w:r>
              <w:rPr>
                <w:rFonts w:hint="eastAsia" w:ascii="宋体" w:hAnsi="宋体"/>
                <w:sz w:val="21"/>
                <w:szCs w:val="21"/>
                <w:u w:val="single"/>
                <w:lang w:eastAsia="zh-CN"/>
              </w:rPr>
              <w:t>江西省</w:t>
            </w:r>
            <w:r>
              <w:rPr>
                <w:rFonts w:hint="eastAsia" w:ascii="宋体" w:hAnsi="宋体"/>
                <w:sz w:val="21"/>
                <w:szCs w:val="21"/>
                <w:lang w:eastAsia="zh-CN"/>
              </w:rPr>
              <w:t>交通运输主管部门评为较高信用等级的投标人优先；</w:t>
            </w:r>
          </w:p>
          <w:p>
            <w:pPr>
              <w:pStyle w:val="11"/>
              <w:adjustRightInd w:val="0"/>
              <w:spacing w:line="400" w:lineRule="exact"/>
              <w:ind w:left="200" w:leftChars="100" w:firstLine="210" w:firstLineChars="100"/>
              <w:contextualSpacing/>
              <w:rPr>
                <w:rFonts w:hint="eastAsia" w:ascii="宋体" w:hAnsi="宋体"/>
                <w:sz w:val="21"/>
                <w:szCs w:val="21"/>
                <w:lang w:eastAsia="zh-CN"/>
              </w:rPr>
            </w:pPr>
            <w:r>
              <w:rPr>
                <w:rFonts w:hint="eastAsia" w:ascii="宋体" w:hAnsi="宋体"/>
                <w:sz w:val="21"/>
                <w:szCs w:val="21"/>
                <w:lang w:eastAsia="zh-CN"/>
              </w:rPr>
              <w:t>（3）商务和技术得分较高的投标人优先；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579" w:hRule="atLeast"/>
          <w:jc w:val="center"/>
        </w:trPr>
        <w:tc>
          <w:tcPr>
            <w:tcW w:w="1076" w:type="dxa"/>
            <w:noWrap w:val="0"/>
            <w:vAlign w:val="center"/>
          </w:tcPr>
          <w:p>
            <w:pPr>
              <w:adjustRightInd w:val="0"/>
              <w:spacing w:line="360" w:lineRule="exact"/>
              <w:contextualSpacing/>
              <w:jc w:val="center"/>
              <w:rPr>
                <w:rFonts w:ascii="宋体" w:hAnsi="宋体" w:cs="宋体"/>
                <w:sz w:val="21"/>
                <w:szCs w:val="21"/>
              </w:rPr>
            </w:pPr>
            <w:r>
              <w:rPr>
                <w:rFonts w:ascii="宋体" w:hAnsi="宋体" w:cs="宋体"/>
                <w:sz w:val="21"/>
                <w:szCs w:val="21"/>
              </w:rPr>
              <w:t>2.1.1</w:t>
            </w:r>
          </w:p>
          <w:p>
            <w:pPr>
              <w:adjustRightInd w:val="0"/>
              <w:spacing w:line="360" w:lineRule="exact"/>
              <w:contextualSpacing/>
              <w:jc w:val="center"/>
              <w:rPr>
                <w:rFonts w:hint="eastAsia" w:ascii="宋体" w:hAnsi="宋体" w:cs="宋体"/>
                <w:sz w:val="21"/>
                <w:szCs w:val="21"/>
              </w:rPr>
            </w:pPr>
            <w:r>
              <w:rPr>
                <w:rFonts w:ascii="宋体" w:hAnsi="宋体" w:cs="宋体"/>
                <w:sz w:val="21"/>
                <w:szCs w:val="21"/>
              </w:rPr>
              <w:t>2.1.3</w:t>
            </w:r>
          </w:p>
        </w:tc>
        <w:tc>
          <w:tcPr>
            <w:tcW w:w="1143" w:type="dxa"/>
            <w:noWrap w:val="0"/>
            <w:vAlign w:val="center"/>
          </w:tcPr>
          <w:p>
            <w:pPr>
              <w:adjustRightInd w:val="0"/>
              <w:spacing w:line="360" w:lineRule="exact"/>
              <w:contextualSpacing/>
              <w:jc w:val="center"/>
              <w:rPr>
                <w:rFonts w:hint="eastAsia" w:ascii="宋体" w:hAnsi="宋体" w:cs="宋体"/>
                <w:sz w:val="21"/>
                <w:szCs w:val="21"/>
              </w:rPr>
            </w:pPr>
            <w:r>
              <w:rPr>
                <w:rFonts w:hint="eastAsia" w:ascii="宋体" w:hAnsi="宋体" w:cs="宋体"/>
                <w:sz w:val="21"/>
                <w:szCs w:val="21"/>
              </w:rPr>
              <w:t>形式评审</w:t>
            </w:r>
          </w:p>
          <w:p>
            <w:pPr>
              <w:adjustRightInd w:val="0"/>
              <w:spacing w:line="360" w:lineRule="exact"/>
              <w:contextualSpacing/>
              <w:jc w:val="center"/>
              <w:rPr>
                <w:rFonts w:hint="eastAsia" w:ascii="宋体" w:hAnsi="宋体" w:cs="宋体"/>
                <w:sz w:val="21"/>
                <w:szCs w:val="21"/>
              </w:rPr>
            </w:pPr>
            <w:r>
              <w:rPr>
                <w:rFonts w:hint="eastAsia" w:ascii="宋体" w:hAnsi="宋体" w:cs="宋体"/>
                <w:sz w:val="21"/>
                <w:szCs w:val="21"/>
              </w:rPr>
              <w:t>与响应性</w:t>
            </w:r>
          </w:p>
          <w:p>
            <w:pPr>
              <w:adjustRightInd w:val="0"/>
              <w:spacing w:line="360" w:lineRule="exact"/>
              <w:contextualSpacing/>
              <w:jc w:val="center"/>
              <w:rPr>
                <w:rFonts w:hint="eastAsia" w:ascii="宋体" w:hAnsi="宋体" w:cs="宋体"/>
                <w:sz w:val="21"/>
                <w:szCs w:val="21"/>
              </w:rPr>
            </w:pPr>
            <w:r>
              <w:rPr>
                <w:rFonts w:hint="eastAsia" w:ascii="宋体" w:hAnsi="宋体" w:cs="宋体"/>
                <w:sz w:val="21"/>
                <w:szCs w:val="21"/>
              </w:rPr>
              <w:t>评审标准</w:t>
            </w:r>
          </w:p>
        </w:tc>
        <w:tc>
          <w:tcPr>
            <w:tcW w:w="6995" w:type="dxa"/>
            <w:vMerge w:val="restart"/>
            <w:noWrap w:val="0"/>
            <w:vAlign w:val="center"/>
          </w:tcPr>
          <w:p>
            <w:pPr>
              <w:pStyle w:val="12"/>
              <w:spacing w:line="400" w:lineRule="exact"/>
              <w:ind w:left="200" w:leftChars="100" w:firstLine="210" w:firstLineChars="100"/>
              <w:contextualSpacing/>
              <w:jc w:val="both"/>
              <w:rPr>
                <w:rFonts w:hint="eastAsia" w:hAnsi="宋体"/>
                <w:color w:val="auto"/>
                <w:sz w:val="21"/>
                <w:szCs w:val="21"/>
              </w:rPr>
            </w:pPr>
            <w:r>
              <w:rPr>
                <w:rFonts w:hint="eastAsia" w:hAnsi="宋体"/>
                <w:color w:val="auto"/>
                <w:sz w:val="21"/>
                <w:szCs w:val="21"/>
              </w:rPr>
              <w:t>第一个信封（商务及技术文件）评审标准：</w:t>
            </w:r>
            <w:r>
              <w:rPr>
                <w:rFonts w:hAnsi="宋体"/>
                <w:color w:val="auto"/>
                <w:sz w:val="21"/>
                <w:szCs w:val="21"/>
              </w:rPr>
              <w:t xml:space="preserve"> </w:t>
            </w:r>
          </w:p>
          <w:p>
            <w:pPr>
              <w:pStyle w:val="12"/>
              <w:spacing w:line="400" w:lineRule="exact"/>
              <w:ind w:left="200" w:leftChars="100" w:firstLine="210" w:firstLineChars="100"/>
              <w:contextualSpacing/>
              <w:jc w:val="both"/>
              <w:rPr>
                <w:rFonts w:hint="eastAsia" w:hAnsi="宋体"/>
                <w:color w:val="auto"/>
                <w:sz w:val="21"/>
                <w:szCs w:val="21"/>
              </w:rPr>
            </w:pPr>
            <w:r>
              <w:rPr>
                <w:rFonts w:hint="eastAsia" w:hAnsi="宋体"/>
                <w:color w:val="auto"/>
                <w:sz w:val="21"/>
                <w:szCs w:val="21"/>
              </w:rPr>
              <w:t>（</w:t>
            </w:r>
            <w:r>
              <w:rPr>
                <w:rFonts w:hAnsi="宋体" w:cs="Times New Roman"/>
                <w:color w:val="auto"/>
                <w:sz w:val="21"/>
                <w:szCs w:val="21"/>
              </w:rPr>
              <w:t>1</w:t>
            </w:r>
            <w:r>
              <w:rPr>
                <w:rFonts w:hint="eastAsia" w:hAnsi="宋体"/>
                <w:color w:val="auto"/>
                <w:sz w:val="21"/>
                <w:szCs w:val="21"/>
              </w:rPr>
              <w:t>）投标文件按照招标文件规定的格式、内容填写，字迹清晰可辨：</w:t>
            </w:r>
          </w:p>
          <w:p>
            <w:pPr>
              <w:pStyle w:val="12"/>
              <w:spacing w:line="400" w:lineRule="exact"/>
              <w:ind w:left="200" w:leftChars="100" w:firstLine="210" w:firstLineChars="100"/>
              <w:contextualSpacing/>
              <w:jc w:val="both"/>
              <w:rPr>
                <w:rFonts w:hAnsi="宋体"/>
                <w:color w:val="auto"/>
                <w:sz w:val="21"/>
                <w:szCs w:val="21"/>
              </w:rPr>
            </w:pPr>
            <w:r>
              <w:rPr>
                <w:rFonts w:hAnsi="宋体" w:cs="Times New Roman"/>
                <w:color w:val="auto"/>
                <w:sz w:val="21"/>
                <w:szCs w:val="21"/>
              </w:rPr>
              <w:t>a.</w:t>
            </w:r>
            <w:r>
              <w:rPr>
                <w:rFonts w:hint="eastAsia" w:hAnsi="宋体"/>
                <w:color w:val="auto"/>
                <w:sz w:val="21"/>
                <w:szCs w:val="21"/>
              </w:rPr>
              <w:t>投标函按招标文件规定填报了项目名称、标段号、补遗书编号（如有）、施工监理服务期限、工程质量要求及安全目标；</w:t>
            </w:r>
            <w:r>
              <w:rPr>
                <w:rFonts w:hAnsi="宋体"/>
                <w:color w:val="auto"/>
                <w:sz w:val="21"/>
                <w:szCs w:val="21"/>
              </w:rPr>
              <w:t xml:space="preserve"> </w:t>
            </w:r>
          </w:p>
          <w:p>
            <w:pPr>
              <w:pStyle w:val="12"/>
              <w:spacing w:line="400" w:lineRule="exact"/>
              <w:ind w:left="200" w:leftChars="100" w:firstLine="210" w:firstLineChars="100"/>
              <w:contextualSpacing/>
              <w:jc w:val="both"/>
              <w:rPr>
                <w:rFonts w:hAnsi="宋体"/>
                <w:color w:val="auto"/>
                <w:sz w:val="21"/>
                <w:szCs w:val="21"/>
              </w:rPr>
            </w:pPr>
            <w:r>
              <w:rPr>
                <w:rFonts w:hAnsi="宋体" w:cs="Times New Roman"/>
                <w:color w:val="auto"/>
                <w:sz w:val="21"/>
                <w:szCs w:val="21"/>
              </w:rPr>
              <w:t>b.</w:t>
            </w:r>
            <w:r>
              <w:rPr>
                <w:rFonts w:hint="eastAsia" w:hAnsi="宋体"/>
                <w:color w:val="auto"/>
                <w:sz w:val="21"/>
                <w:szCs w:val="21"/>
              </w:rPr>
              <w:t>投标文件组成齐全完整，内容均按规定填写。</w:t>
            </w:r>
            <w:r>
              <w:rPr>
                <w:rFonts w:hAnsi="宋体"/>
                <w:color w:val="auto"/>
                <w:sz w:val="21"/>
                <w:szCs w:val="21"/>
              </w:rPr>
              <w:t xml:space="preserve"> </w:t>
            </w:r>
          </w:p>
          <w:p>
            <w:pPr>
              <w:pStyle w:val="12"/>
              <w:spacing w:line="400" w:lineRule="exact"/>
              <w:ind w:left="200" w:leftChars="100" w:firstLine="210" w:firstLineChars="100"/>
              <w:contextualSpacing/>
              <w:jc w:val="both"/>
              <w:rPr>
                <w:rFonts w:hint="eastAsia" w:hAnsi="宋体"/>
                <w:color w:val="auto"/>
                <w:sz w:val="21"/>
                <w:szCs w:val="21"/>
              </w:rPr>
            </w:pPr>
            <w:r>
              <w:rPr>
                <w:rFonts w:hint="eastAsia" w:hAnsi="宋体"/>
                <w:color w:val="auto"/>
                <w:sz w:val="21"/>
                <w:szCs w:val="21"/>
              </w:rPr>
              <w:t>（</w:t>
            </w:r>
            <w:r>
              <w:rPr>
                <w:rFonts w:hAnsi="宋体" w:cs="Times New Roman"/>
                <w:color w:val="auto"/>
                <w:sz w:val="21"/>
                <w:szCs w:val="21"/>
              </w:rPr>
              <w:t>2</w:t>
            </w:r>
            <w:r>
              <w:rPr>
                <w:rFonts w:hint="eastAsia" w:hAnsi="宋体"/>
                <w:color w:val="auto"/>
                <w:sz w:val="21"/>
                <w:szCs w:val="21"/>
              </w:rPr>
              <w:t>）投标文件上法定代表人或其委托代理人的签字、投标人的单位章盖章齐全，符合招标文件规定。</w:t>
            </w:r>
            <w:r>
              <w:rPr>
                <w:rFonts w:hAnsi="宋体"/>
                <w:color w:val="auto"/>
                <w:sz w:val="21"/>
                <w:szCs w:val="21"/>
              </w:rPr>
              <w:t xml:space="preserve"> </w:t>
            </w:r>
          </w:p>
          <w:p>
            <w:pPr>
              <w:pStyle w:val="12"/>
              <w:spacing w:line="400" w:lineRule="exact"/>
              <w:ind w:left="200" w:leftChars="100" w:firstLine="210" w:firstLineChars="100"/>
              <w:contextualSpacing/>
              <w:jc w:val="both"/>
              <w:rPr>
                <w:rFonts w:hAnsi="宋体"/>
                <w:color w:val="auto"/>
                <w:sz w:val="21"/>
                <w:szCs w:val="21"/>
              </w:rPr>
            </w:pPr>
            <w:r>
              <w:rPr>
                <w:rFonts w:hint="eastAsia" w:hAnsi="宋体"/>
                <w:color w:val="auto"/>
                <w:sz w:val="21"/>
                <w:szCs w:val="21"/>
              </w:rPr>
              <w:t>（3）与申请资格预审时比较，投标人发生合并、分立、破产等重大变化的，仍具备资格预审文件规定的相应资格条件且其投标未影响招标公正性：</w:t>
            </w:r>
            <w:r>
              <w:rPr>
                <w:rFonts w:hAnsi="宋体"/>
                <w:color w:val="auto"/>
                <w:sz w:val="21"/>
                <w:szCs w:val="21"/>
              </w:rPr>
              <w:t xml:space="preserve"> </w:t>
            </w:r>
          </w:p>
          <w:p>
            <w:pPr>
              <w:pStyle w:val="12"/>
              <w:spacing w:line="400" w:lineRule="exact"/>
              <w:ind w:left="200" w:leftChars="100" w:firstLine="210" w:firstLineChars="100"/>
              <w:contextualSpacing/>
              <w:jc w:val="both"/>
              <w:rPr>
                <w:rFonts w:hAnsi="宋体"/>
                <w:color w:val="auto"/>
                <w:sz w:val="21"/>
                <w:szCs w:val="21"/>
              </w:rPr>
            </w:pPr>
            <w:r>
              <w:rPr>
                <w:rFonts w:hAnsi="宋体"/>
                <w:color w:val="auto"/>
                <w:sz w:val="21"/>
                <w:szCs w:val="21"/>
              </w:rPr>
              <w:t>a.</w:t>
            </w:r>
            <w:r>
              <w:rPr>
                <w:rFonts w:hint="eastAsia" w:hAnsi="宋体"/>
                <w:color w:val="auto"/>
                <w:sz w:val="21"/>
                <w:szCs w:val="21"/>
              </w:rPr>
              <w:t>投标人应提供相关部门的合法批件及企业法人营业执照和资质证书等证件的副本变更记录复印件；</w:t>
            </w:r>
            <w:r>
              <w:rPr>
                <w:rFonts w:hAnsi="宋体"/>
                <w:color w:val="auto"/>
                <w:sz w:val="21"/>
                <w:szCs w:val="21"/>
              </w:rPr>
              <w:t xml:space="preserve"> </w:t>
            </w:r>
          </w:p>
          <w:p>
            <w:pPr>
              <w:pStyle w:val="12"/>
              <w:spacing w:line="400" w:lineRule="exact"/>
              <w:ind w:left="200" w:leftChars="100" w:firstLine="210" w:firstLineChars="100"/>
              <w:contextualSpacing/>
              <w:jc w:val="both"/>
              <w:rPr>
                <w:rFonts w:hAnsi="宋体"/>
                <w:color w:val="auto"/>
                <w:sz w:val="21"/>
                <w:szCs w:val="21"/>
              </w:rPr>
            </w:pPr>
            <w:r>
              <w:rPr>
                <w:rFonts w:hAnsi="宋体"/>
                <w:color w:val="auto"/>
                <w:sz w:val="21"/>
                <w:szCs w:val="21"/>
              </w:rPr>
              <w:t>b.</w:t>
            </w:r>
            <w:r>
              <w:rPr>
                <w:rFonts w:hint="eastAsia" w:hAnsi="宋体"/>
                <w:color w:val="auto"/>
                <w:sz w:val="21"/>
                <w:szCs w:val="21"/>
              </w:rPr>
              <w:t>投标人仍然满足资格预审文件中规定的资格预审条件最低要求（资质、业绩、人员、信誉等）；</w:t>
            </w:r>
            <w:r>
              <w:rPr>
                <w:rFonts w:hAnsi="宋体"/>
                <w:color w:val="auto"/>
                <w:sz w:val="21"/>
                <w:szCs w:val="21"/>
              </w:rPr>
              <w:t xml:space="preserve"> </w:t>
            </w:r>
          </w:p>
          <w:p>
            <w:pPr>
              <w:pStyle w:val="12"/>
              <w:spacing w:line="400" w:lineRule="exact"/>
              <w:ind w:left="200" w:leftChars="100" w:firstLine="210" w:firstLineChars="100"/>
              <w:contextualSpacing/>
              <w:jc w:val="both"/>
              <w:rPr>
                <w:rFonts w:hAnsi="宋体"/>
                <w:color w:val="auto"/>
                <w:sz w:val="21"/>
                <w:szCs w:val="21"/>
              </w:rPr>
            </w:pPr>
            <w:r>
              <w:rPr>
                <w:rFonts w:hAnsi="宋体"/>
                <w:color w:val="auto"/>
                <w:sz w:val="21"/>
                <w:szCs w:val="21"/>
              </w:rPr>
              <w:t>c.</w:t>
            </w:r>
            <w:r>
              <w:rPr>
                <w:rFonts w:hint="eastAsia" w:hAnsi="宋体"/>
                <w:color w:val="auto"/>
                <w:sz w:val="21"/>
                <w:szCs w:val="21"/>
              </w:rPr>
              <w:t>与所投标段的其他投标人不存在控股、管理关系或单位负责人为同一人的情况；与招标人也不存在利害关系并可能影响招标公正性。</w:t>
            </w:r>
            <w:r>
              <w:rPr>
                <w:rFonts w:hAnsi="宋体"/>
                <w:color w:val="auto"/>
                <w:sz w:val="21"/>
                <w:szCs w:val="21"/>
              </w:rPr>
              <w:t xml:space="preserve"> </w:t>
            </w:r>
          </w:p>
          <w:p>
            <w:pPr>
              <w:pStyle w:val="12"/>
              <w:spacing w:line="400" w:lineRule="exact"/>
              <w:ind w:left="200" w:leftChars="100" w:firstLine="210" w:firstLineChars="100"/>
              <w:contextualSpacing/>
              <w:jc w:val="both"/>
              <w:rPr>
                <w:rFonts w:hAnsi="宋体"/>
                <w:color w:val="auto"/>
                <w:sz w:val="21"/>
                <w:szCs w:val="21"/>
              </w:rPr>
            </w:pPr>
            <w:r>
              <w:rPr>
                <w:rFonts w:hint="eastAsia" w:hAnsi="宋体"/>
                <w:color w:val="auto"/>
                <w:sz w:val="21"/>
                <w:szCs w:val="21"/>
              </w:rPr>
              <w:t>（</w:t>
            </w:r>
            <w:r>
              <w:rPr>
                <w:rFonts w:hint="eastAsia" w:hAnsi="宋体" w:cs="Times New Roman"/>
                <w:color w:val="auto"/>
                <w:sz w:val="21"/>
                <w:szCs w:val="21"/>
              </w:rPr>
              <w:t>4</w:t>
            </w:r>
            <w:r>
              <w:rPr>
                <w:rFonts w:hint="eastAsia" w:hAnsi="宋体"/>
                <w:color w:val="auto"/>
                <w:sz w:val="21"/>
                <w:szCs w:val="21"/>
              </w:rPr>
              <w:t>）投标人按照招标文件的规定提供了投标保证金：</w:t>
            </w:r>
            <w:r>
              <w:rPr>
                <w:rFonts w:hAnsi="宋体"/>
                <w:color w:val="auto"/>
                <w:sz w:val="21"/>
                <w:szCs w:val="21"/>
              </w:rPr>
              <w:t xml:space="preserve"> </w:t>
            </w:r>
          </w:p>
          <w:p>
            <w:pPr>
              <w:pStyle w:val="11"/>
              <w:adjustRightInd w:val="0"/>
              <w:spacing w:line="400" w:lineRule="exact"/>
              <w:ind w:left="200" w:leftChars="100" w:firstLine="210" w:firstLineChars="100"/>
              <w:contextualSpacing/>
              <w:jc w:val="both"/>
              <w:rPr>
                <w:rFonts w:hint="eastAsia" w:ascii="宋体" w:hAnsi="宋体"/>
                <w:sz w:val="21"/>
                <w:szCs w:val="21"/>
                <w:lang w:eastAsia="zh-CN"/>
              </w:rPr>
            </w:pPr>
            <w:r>
              <w:rPr>
                <w:rFonts w:ascii="宋体" w:hAnsi="宋体"/>
                <w:sz w:val="21"/>
                <w:szCs w:val="21"/>
                <w:lang w:eastAsia="zh-CN"/>
              </w:rPr>
              <w:t>a.</w:t>
            </w:r>
            <w:r>
              <w:rPr>
                <w:rFonts w:hint="eastAsia" w:ascii="宋体" w:hAnsi="宋体"/>
                <w:sz w:val="21"/>
                <w:szCs w:val="21"/>
                <w:lang w:eastAsia="zh-CN"/>
              </w:rPr>
              <w:t>投标保证金金额符合招标文件规定的金额，且投标保证金有效期不少于投标有效期；</w:t>
            </w:r>
            <w:r>
              <w:rPr>
                <w:rFonts w:ascii="宋体" w:hAnsi="宋体"/>
                <w:sz w:val="21"/>
                <w:szCs w:val="21"/>
                <w:lang w:eastAsia="zh-CN"/>
              </w:rPr>
              <w:t xml:space="preserve"> </w:t>
            </w:r>
          </w:p>
          <w:p>
            <w:pPr>
              <w:pStyle w:val="12"/>
              <w:spacing w:line="400" w:lineRule="exact"/>
              <w:ind w:left="200" w:leftChars="100" w:firstLine="210" w:firstLineChars="100"/>
              <w:contextualSpacing/>
              <w:jc w:val="both"/>
              <w:rPr>
                <w:rFonts w:hint="eastAsia" w:hAnsi="宋体" w:cs="Times New Roman"/>
                <w:color w:val="auto"/>
                <w:sz w:val="21"/>
                <w:szCs w:val="21"/>
              </w:rPr>
            </w:pPr>
            <w:r>
              <w:rPr>
                <w:rFonts w:hAnsi="宋体" w:cs="Times New Roman"/>
                <w:color w:val="auto"/>
                <w:sz w:val="21"/>
                <w:szCs w:val="21"/>
              </w:rPr>
              <w:t>b.</w:t>
            </w:r>
            <w:r>
              <w:rPr>
                <w:rFonts w:hint="eastAsia" w:hAnsi="宋体" w:cs="Times New Roman"/>
                <w:color w:val="auto"/>
                <w:sz w:val="21"/>
                <w:szCs w:val="21"/>
              </w:rPr>
              <w:t>若投标保证金采用现金或支票形式提交，投标人应在递交投标文件截止时间之前，将投标保证金由投标人的基本账户转入招标人指定账户；</w:t>
            </w:r>
          </w:p>
          <w:p>
            <w:pPr>
              <w:pStyle w:val="12"/>
              <w:spacing w:line="400" w:lineRule="exact"/>
              <w:ind w:left="200" w:leftChars="100" w:firstLine="210" w:firstLineChars="100"/>
              <w:contextualSpacing/>
              <w:jc w:val="both"/>
              <w:rPr>
                <w:rFonts w:hint="eastAsia" w:hAnsi="宋体" w:cs="Times New Roman"/>
                <w:color w:val="auto"/>
                <w:sz w:val="21"/>
                <w:szCs w:val="21"/>
              </w:rPr>
            </w:pPr>
            <w:r>
              <w:rPr>
                <w:rFonts w:hAnsi="宋体"/>
                <w:color w:val="auto"/>
                <w:sz w:val="21"/>
                <w:szCs w:val="21"/>
              </w:rPr>
              <w:t>c.</w:t>
            </w:r>
            <w:r>
              <w:rPr>
                <w:rFonts w:hint="eastAsia" w:hAnsi="宋体"/>
                <w:color w:val="auto"/>
                <w:sz w:val="21"/>
                <w:szCs w:val="21"/>
              </w:rPr>
              <w:t>若投标保证金采用银行保函形式提交，银行保函的格式、开具保函的银行均满足招标文件要求，且在递交投标文件截止时间之前向招标人提交了银行保函原件。</w:t>
            </w:r>
            <w:r>
              <w:rPr>
                <w:rFonts w:hAnsi="宋体" w:cs="Times New Roman"/>
                <w:color w:val="auto"/>
                <w:sz w:val="21"/>
                <w:szCs w:val="21"/>
              </w:rPr>
              <w:t xml:space="preserve"> </w:t>
            </w:r>
          </w:p>
          <w:p>
            <w:pPr>
              <w:pStyle w:val="12"/>
              <w:spacing w:line="400" w:lineRule="exact"/>
              <w:ind w:left="200" w:leftChars="100" w:firstLine="210" w:firstLineChars="100"/>
              <w:contextualSpacing/>
              <w:jc w:val="both"/>
              <w:rPr>
                <w:rFonts w:hint="eastAsia" w:hAnsi="宋体"/>
                <w:color w:val="auto"/>
                <w:sz w:val="21"/>
                <w:szCs w:val="21"/>
              </w:rPr>
            </w:pPr>
            <w:r>
              <w:rPr>
                <w:rFonts w:hint="eastAsia" w:hAnsi="宋体"/>
                <w:color w:val="auto"/>
                <w:sz w:val="21"/>
                <w:szCs w:val="21"/>
              </w:rPr>
              <w:t>（5）投标人法定代表人授权委托代理人签署投标文件的，须提交授权委托书，且授权人和被授权人均在授权委托书上签名，未使用印章、签名章或其他电子制版签名代替。</w:t>
            </w:r>
            <w:r>
              <w:rPr>
                <w:rFonts w:hAnsi="宋体"/>
                <w:color w:val="auto"/>
                <w:sz w:val="21"/>
                <w:szCs w:val="21"/>
              </w:rPr>
              <w:t xml:space="preserve"> </w:t>
            </w:r>
          </w:p>
          <w:p>
            <w:pPr>
              <w:pStyle w:val="12"/>
              <w:spacing w:line="400" w:lineRule="exact"/>
              <w:ind w:left="100" w:firstLine="210" w:firstLineChars="100"/>
              <w:contextualSpacing/>
              <w:jc w:val="both"/>
              <w:rPr>
                <w:rFonts w:hint="eastAsia" w:hAnsi="宋体"/>
                <w:color w:val="auto"/>
                <w:sz w:val="21"/>
                <w:szCs w:val="21"/>
              </w:rPr>
            </w:pPr>
            <w:r>
              <w:rPr>
                <w:rFonts w:hint="eastAsia" w:hAnsi="宋体"/>
                <w:color w:val="auto"/>
                <w:sz w:val="21"/>
                <w:szCs w:val="21"/>
              </w:rPr>
              <w:t>（6）投标人法定代表人亲自签署投标文件的，提供了法定代表人身份证明，且法定代表人在法定代表人身份证明上签名，未使用印章、签名章或其他电子制版签名代替。</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（7）投标人以联合体形式投标时，联合体满足招标文件的要求：</w:t>
            </w:r>
            <w:r>
              <w:rPr>
                <w:rFonts w:hAnsi="宋体"/>
                <w:color w:val="auto"/>
                <w:sz w:val="21"/>
                <w:szCs w:val="21"/>
              </w:rPr>
              <w:t xml:space="preserve"> </w:t>
            </w:r>
          </w:p>
          <w:p>
            <w:pPr>
              <w:pStyle w:val="12"/>
              <w:spacing w:line="400" w:lineRule="exact"/>
              <w:ind w:left="200" w:leftChars="100" w:firstLine="210" w:firstLineChars="100"/>
              <w:contextualSpacing/>
              <w:jc w:val="both"/>
              <w:rPr>
                <w:rFonts w:hint="eastAsia" w:hAnsi="宋体"/>
                <w:color w:val="auto"/>
                <w:sz w:val="21"/>
                <w:szCs w:val="21"/>
              </w:rPr>
            </w:pPr>
            <w:r>
              <w:rPr>
                <w:rFonts w:hAnsi="宋体"/>
                <w:color w:val="auto"/>
                <w:sz w:val="21"/>
                <w:szCs w:val="21"/>
              </w:rPr>
              <w:t>a.</w:t>
            </w:r>
            <w:r>
              <w:rPr>
                <w:rFonts w:hint="eastAsia" w:hAnsi="宋体"/>
                <w:color w:val="auto"/>
                <w:sz w:val="21"/>
                <w:szCs w:val="21"/>
              </w:rPr>
              <w:t>未进行资格预审的，投标人按照招标文件提供的格式签订了联合体协议书，明确各方承担连带责任，并明确了联合体牵头人；</w:t>
            </w:r>
          </w:p>
          <w:p>
            <w:pPr>
              <w:pStyle w:val="12"/>
              <w:spacing w:line="400" w:lineRule="exact"/>
              <w:ind w:left="200" w:leftChars="100" w:firstLine="210" w:firstLineChars="100"/>
              <w:contextualSpacing/>
              <w:jc w:val="both"/>
              <w:rPr>
                <w:rFonts w:hAnsi="宋体"/>
                <w:color w:val="auto"/>
                <w:sz w:val="21"/>
                <w:szCs w:val="21"/>
              </w:rPr>
            </w:pPr>
            <w:r>
              <w:rPr>
                <w:rFonts w:hAnsi="宋体"/>
                <w:color w:val="auto"/>
                <w:sz w:val="21"/>
                <w:szCs w:val="21"/>
              </w:rPr>
              <w:t>b.</w:t>
            </w:r>
            <w:r>
              <w:rPr>
                <w:rFonts w:hint="eastAsia" w:hAnsi="宋体"/>
                <w:color w:val="auto"/>
                <w:sz w:val="21"/>
                <w:szCs w:val="21"/>
              </w:rPr>
              <w:t>已进行资格预审的，投标人提供了资格预审申请文件中所附的联合体协议书复印件，且通过资格预审后的联合体无成员增减或更换的情况。</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（8）投标人如有分包计划，符合招标文件第二章</w:t>
            </w:r>
            <w:r>
              <w:rPr>
                <w:rFonts w:hAnsi="宋体"/>
                <w:color w:val="auto"/>
                <w:sz w:val="21"/>
                <w:szCs w:val="21"/>
              </w:rPr>
              <w:t>“</w:t>
            </w:r>
            <w:r>
              <w:rPr>
                <w:rFonts w:hint="eastAsia" w:hAnsi="宋体"/>
                <w:color w:val="auto"/>
                <w:sz w:val="21"/>
                <w:szCs w:val="21"/>
              </w:rPr>
              <w:t>投标人须知</w:t>
            </w:r>
            <w:r>
              <w:rPr>
                <w:rFonts w:hAnsi="宋体"/>
                <w:color w:val="auto"/>
                <w:sz w:val="21"/>
                <w:szCs w:val="21"/>
              </w:rPr>
              <w:t>”</w:t>
            </w:r>
            <w:r>
              <w:rPr>
                <w:rFonts w:hint="eastAsia" w:hAnsi="宋体"/>
                <w:color w:val="auto"/>
                <w:sz w:val="21"/>
                <w:szCs w:val="21"/>
              </w:rPr>
              <w:t>第</w:t>
            </w:r>
            <w:r>
              <w:rPr>
                <w:rFonts w:hAnsi="宋体"/>
                <w:color w:val="auto"/>
                <w:sz w:val="21"/>
                <w:szCs w:val="21"/>
              </w:rPr>
              <w:t>1.11</w:t>
            </w:r>
            <w:r>
              <w:rPr>
                <w:rFonts w:hint="eastAsia" w:hAnsi="宋体"/>
                <w:color w:val="auto"/>
                <w:sz w:val="21"/>
                <w:szCs w:val="21"/>
              </w:rPr>
              <w:t xml:space="preserve">款规定，且按招标文件第七章“投标文件格式”的要求填写了“拟分包项目情况表”。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（9）同一投标人未提交两个以上不同的投标文件，但招标文件要求提交备选投标的除外。</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（10）投标文件中未出现有关投标报价的内容。</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（11）投标文件载明的招标项目完成期限未超过招标文件规定的时限。</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（12）投标文件对招标文件的实质性要求和条件作出响应。</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（13）权利义务符合招标文件规定：</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Ansi="宋体"/>
                <w:color w:val="auto"/>
                <w:sz w:val="21"/>
                <w:szCs w:val="21"/>
              </w:rPr>
              <w:t>a.</w:t>
            </w:r>
            <w:r>
              <w:rPr>
                <w:rFonts w:hint="eastAsia" w:hAnsi="宋体"/>
                <w:color w:val="auto"/>
                <w:sz w:val="21"/>
                <w:szCs w:val="21"/>
              </w:rPr>
              <w:t>投标人应接受招标文件规定的风险划分原则，未提出新的风险划分办法；</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Ansi="宋体"/>
                <w:color w:val="auto"/>
                <w:sz w:val="21"/>
                <w:szCs w:val="21"/>
              </w:rPr>
              <w:t>b.</w:t>
            </w:r>
            <w:r>
              <w:rPr>
                <w:rFonts w:hint="eastAsia" w:hAnsi="宋体"/>
                <w:color w:val="auto"/>
                <w:sz w:val="21"/>
                <w:szCs w:val="21"/>
              </w:rPr>
              <w:t>投标人未增加委托人的责任范围，或减少投标人义务；</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Ansi="宋体"/>
                <w:color w:val="auto"/>
                <w:sz w:val="21"/>
                <w:szCs w:val="21"/>
              </w:rPr>
              <w:t>c.</w:t>
            </w:r>
            <w:r>
              <w:rPr>
                <w:rFonts w:hint="eastAsia" w:hAnsi="宋体"/>
                <w:color w:val="auto"/>
                <w:sz w:val="21"/>
                <w:szCs w:val="21"/>
              </w:rPr>
              <w:t>投标人未提出不同的支付办法；</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Ansi="宋体"/>
                <w:color w:val="auto"/>
                <w:sz w:val="21"/>
                <w:szCs w:val="21"/>
              </w:rPr>
              <w:t>d.</w:t>
            </w:r>
            <w:r>
              <w:rPr>
                <w:rFonts w:hint="eastAsia" w:hAnsi="宋体"/>
                <w:color w:val="auto"/>
                <w:sz w:val="21"/>
                <w:szCs w:val="21"/>
              </w:rPr>
              <w:t>投标人对合同纠纷、事故处理办法未提出异议；</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Ansi="宋体"/>
                <w:color w:val="auto"/>
                <w:sz w:val="21"/>
                <w:szCs w:val="21"/>
              </w:rPr>
              <w:t>e.</w:t>
            </w:r>
            <w:r>
              <w:rPr>
                <w:rFonts w:hint="eastAsia" w:hAnsi="宋体"/>
                <w:color w:val="auto"/>
                <w:sz w:val="21"/>
                <w:szCs w:val="21"/>
              </w:rPr>
              <w:t>投标人在投标活动中无欺诈行为；</w:t>
            </w:r>
            <w:r>
              <w:rPr>
                <w:rFonts w:hAnsi="宋体"/>
                <w:color w:val="auto"/>
                <w:sz w:val="21"/>
                <w:szCs w:val="21"/>
              </w:rPr>
              <w:t xml:space="preserve"> </w:t>
            </w:r>
          </w:p>
          <w:p>
            <w:pPr>
              <w:pStyle w:val="12"/>
              <w:spacing w:line="400" w:lineRule="exact"/>
              <w:ind w:left="100" w:firstLine="210" w:firstLineChars="100"/>
              <w:contextualSpacing/>
              <w:jc w:val="both"/>
              <w:rPr>
                <w:rFonts w:hint="eastAsia" w:hAnsi="宋体"/>
                <w:color w:val="auto"/>
                <w:sz w:val="21"/>
                <w:szCs w:val="21"/>
              </w:rPr>
            </w:pPr>
            <w:r>
              <w:rPr>
                <w:rFonts w:hAnsi="宋体"/>
                <w:color w:val="auto"/>
                <w:sz w:val="21"/>
                <w:szCs w:val="21"/>
              </w:rPr>
              <w:t>f.</w:t>
            </w:r>
            <w:r>
              <w:rPr>
                <w:rFonts w:hint="eastAsia" w:hAnsi="宋体"/>
                <w:color w:val="auto"/>
                <w:sz w:val="21"/>
                <w:szCs w:val="21"/>
              </w:rPr>
              <w:t>投标人未对合同条款有重要保留。</w:t>
            </w:r>
            <w:r>
              <w:rPr>
                <w:rFonts w:hAnsi="宋体"/>
                <w:color w:val="auto"/>
                <w:sz w:val="21"/>
                <w:szCs w:val="21"/>
              </w:rPr>
              <w:t xml:space="preserve"> </w:t>
            </w:r>
          </w:p>
          <w:p>
            <w:pPr>
              <w:pStyle w:val="12"/>
              <w:spacing w:line="400" w:lineRule="exact"/>
              <w:ind w:left="100" w:firstLine="210" w:firstLineChars="100"/>
              <w:contextualSpacing/>
              <w:jc w:val="both"/>
              <w:rPr>
                <w:rFonts w:hint="eastAsia" w:hAnsi="宋体"/>
                <w:color w:val="auto"/>
                <w:sz w:val="21"/>
                <w:szCs w:val="21"/>
              </w:rPr>
            </w:pPr>
            <w:r>
              <w:rPr>
                <w:rFonts w:hint="eastAsia" w:hAnsi="宋体"/>
                <w:color w:val="auto"/>
                <w:sz w:val="21"/>
                <w:szCs w:val="21"/>
              </w:rPr>
              <w:t>（14）投标文件正、副本份数符合招标文件第二章</w:t>
            </w:r>
            <w:r>
              <w:rPr>
                <w:rFonts w:hAnsi="宋体"/>
                <w:color w:val="auto"/>
                <w:sz w:val="21"/>
                <w:szCs w:val="21"/>
              </w:rPr>
              <w:t>“</w:t>
            </w:r>
            <w:r>
              <w:rPr>
                <w:rFonts w:hint="eastAsia" w:hAnsi="宋体"/>
                <w:color w:val="auto"/>
                <w:sz w:val="21"/>
                <w:szCs w:val="21"/>
              </w:rPr>
              <w:t>投标人须知</w:t>
            </w:r>
            <w:r>
              <w:rPr>
                <w:rFonts w:hAnsi="宋体"/>
                <w:color w:val="auto"/>
                <w:sz w:val="21"/>
                <w:szCs w:val="21"/>
              </w:rPr>
              <w:t>”</w:t>
            </w:r>
            <w:r>
              <w:rPr>
                <w:rFonts w:hint="eastAsia" w:hAnsi="宋体"/>
                <w:color w:val="auto"/>
                <w:sz w:val="21"/>
                <w:szCs w:val="21"/>
              </w:rPr>
              <w:t>第</w:t>
            </w:r>
            <w:r>
              <w:rPr>
                <w:rFonts w:hAnsi="宋体"/>
                <w:color w:val="auto"/>
                <w:sz w:val="21"/>
                <w:szCs w:val="21"/>
              </w:rPr>
              <w:t>3.7.4</w:t>
            </w:r>
            <w:r>
              <w:rPr>
                <w:rFonts w:hint="eastAsia" w:hAnsi="宋体"/>
                <w:color w:val="auto"/>
                <w:sz w:val="21"/>
                <w:szCs w:val="21"/>
              </w:rPr>
              <w:t>项规定。</w:t>
            </w:r>
            <w:r>
              <w:rPr>
                <w:rFonts w:hAnsi="宋体"/>
                <w:color w:val="auto"/>
                <w:sz w:val="21"/>
                <w:szCs w:val="21"/>
              </w:rPr>
              <w:t xml:space="preserve">  </w:t>
            </w:r>
          </w:p>
          <w:p>
            <w:pPr>
              <w:pStyle w:val="12"/>
              <w:spacing w:line="400" w:lineRule="exact"/>
              <w:ind w:left="100" w:firstLine="210" w:firstLineChars="100"/>
              <w:contextualSpacing/>
              <w:jc w:val="both"/>
              <w:rPr>
                <w:rFonts w:hint="eastAsia" w:hAnsi="宋体"/>
                <w:color w:val="auto"/>
                <w:sz w:val="21"/>
                <w:szCs w:val="21"/>
              </w:rPr>
            </w:pPr>
          </w:p>
          <w:p>
            <w:pPr>
              <w:pStyle w:val="12"/>
              <w:spacing w:line="400" w:lineRule="exact"/>
              <w:ind w:left="100" w:firstLine="210" w:firstLineChars="100"/>
              <w:contextualSpacing/>
              <w:jc w:val="both"/>
              <w:rPr>
                <w:rFonts w:hint="eastAsia" w:hAnsi="宋体"/>
                <w:color w:val="auto"/>
                <w:sz w:val="21"/>
                <w:szCs w:val="21"/>
              </w:rPr>
            </w:pPr>
          </w:p>
          <w:p>
            <w:pPr>
              <w:pStyle w:val="12"/>
              <w:spacing w:line="400" w:lineRule="exact"/>
              <w:ind w:left="100" w:firstLine="210" w:firstLineChars="100"/>
              <w:contextualSpacing/>
              <w:jc w:val="both"/>
              <w:rPr>
                <w:rFonts w:hint="eastAsia" w:hAnsi="宋体"/>
                <w:color w:val="auto"/>
                <w:sz w:val="21"/>
                <w:szCs w:val="21"/>
              </w:rPr>
            </w:pP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第二个信封（报价文件）评审标准：</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w:t>
            </w:r>
            <w:r>
              <w:rPr>
                <w:rFonts w:hAnsi="宋体"/>
                <w:color w:val="auto"/>
                <w:sz w:val="21"/>
                <w:szCs w:val="21"/>
              </w:rPr>
              <w:t>1</w:t>
            </w:r>
            <w:r>
              <w:rPr>
                <w:rFonts w:hint="eastAsia" w:hAnsi="宋体"/>
                <w:color w:val="auto"/>
                <w:sz w:val="21"/>
                <w:szCs w:val="21"/>
              </w:rPr>
              <w:t>）投标文件按照招标文件规定的格式、内容填写，字迹清晰可辨，内容齐全完整：</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Ansi="宋体"/>
                <w:color w:val="auto"/>
                <w:sz w:val="21"/>
                <w:szCs w:val="21"/>
              </w:rPr>
              <w:t>a.</w:t>
            </w:r>
            <w:r>
              <w:rPr>
                <w:rFonts w:hint="eastAsia" w:hAnsi="宋体"/>
                <w:color w:val="auto"/>
                <w:sz w:val="21"/>
                <w:szCs w:val="21"/>
              </w:rPr>
              <w:t>投标函按招标文件规定填报了项目名称、标段号、补遗书编号（如有）、投标价（包括大写金额和小写金额）；</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Ansi="宋体"/>
                <w:color w:val="auto"/>
                <w:sz w:val="21"/>
                <w:szCs w:val="21"/>
              </w:rPr>
              <w:t>b.</w:t>
            </w:r>
            <w:r>
              <w:rPr>
                <w:rFonts w:hint="eastAsia" w:hAnsi="宋体"/>
                <w:color w:val="auto"/>
                <w:sz w:val="21"/>
                <w:szCs w:val="21"/>
              </w:rPr>
              <w:t>已标价报价清单说明文字与招标文件规定一致，未进行实质性修改和删减；</w:t>
            </w:r>
            <w:r>
              <w:rPr>
                <w:rFonts w:hAnsi="宋体"/>
                <w:color w:val="auto"/>
                <w:sz w:val="21"/>
                <w:szCs w:val="21"/>
              </w:rPr>
              <w:t xml:space="preserve"> </w:t>
            </w:r>
          </w:p>
          <w:p>
            <w:pPr>
              <w:pStyle w:val="12"/>
              <w:spacing w:line="400" w:lineRule="exact"/>
              <w:ind w:left="100" w:firstLine="210" w:firstLineChars="100"/>
              <w:contextualSpacing/>
              <w:jc w:val="both"/>
              <w:rPr>
                <w:rFonts w:hint="eastAsia" w:hAnsi="宋体"/>
                <w:color w:val="auto"/>
                <w:sz w:val="21"/>
                <w:szCs w:val="21"/>
              </w:rPr>
            </w:pPr>
            <w:r>
              <w:rPr>
                <w:rFonts w:hAnsi="宋体"/>
                <w:color w:val="auto"/>
                <w:sz w:val="21"/>
                <w:szCs w:val="21"/>
              </w:rPr>
              <w:t>c.</w:t>
            </w:r>
            <w:r>
              <w:rPr>
                <w:rFonts w:hint="eastAsia" w:hAnsi="宋体"/>
                <w:color w:val="auto"/>
                <w:sz w:val="21"/>
                <w:szCs w:val="21"/>
              </w:rPr>
              <w:t>投标文件组成齐全完整，内容均按规定填写。</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w:t>
            </w:r>
            <w:r>
              <w:rPr>
                <w:rFonts w:hAnsi="宋体"/>
                <w:color w:val="auto"/>
                <w:sz w:val="21"/>
                <w:szCs w:val="21"/>
              </w:rPr>
              <w:t>2</w:t>
            </w:r>
            <w:r>
              <w:rPr>
                <w:rFonts w:hint="eastAsia" w:hAnsi="宋体"/>
                <w:color w:val="auto"/>
                <w:sz w:val="21"/>
                <w:szCs w:val="21"/>
              </w:rPr>
              <w:t>）投标文件上法定代表人或其委托代理人的签字、投标人的单位章盖章齐全，符合招标文件规定。</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w:t>
            </w:r>
            <w:r>
              <w:rPr>
                <w:rFonts w:hAnsi="宋体"/>
                <w:color w:val="auto"/>
                <w:sz w:val="21"/>
                <w:szCs w:val="21"/>
              </w:rPr>
              <w:t>3</w:t>
            </w:r>
            <w:r>
              <w:rPr>
                <w:rFonts w:hint="eastAsia" w:hAnsi="宋体"/>
                <w:color w:val="auto"/>
                <w:sz w:val="21"/>
                <w:szCs w:val="21"/>
              </w:rPr>
              <w:t>）投标报价未超过招标文件设定的最高投标限价（如有）。</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w:t>
            </w:r>
            <w:r>
              <w:rPr>
                <w:rFonts w:hAnsi="宋体"/>
                <w:color w:val="auto"/>
                <w:sz w:val="21"/>
                <w:szCs w:val="21"/>
              </w:rPr>
              <w:t>4</w:t>
            </w:r>
            <w:r>
              <w:rPr>
                <w:rFonts w:hint="eastAsia" w:hAnsi="宋体"/>
                <w:color w:val="auto"/>
                <w:sz w:val="21"/>
                <w:szCs w:val="21"/>
              </w:rPr>
              <w:t>）投标报价的大写金额能够确定具体数值。</w:t>
            </w:r>
            <w:r>
              <w:rPr>
                <w:rFonts w:hAnsi="宋体"/>
                <w:color w:val="auto"/>
                <w:sz w:val="21"/>
                <w:szCs w:val="21"/>
              </w:rPr>
              <w:t xml:space="preserve"> </w:t>
            </w:r>
          </w:p>
          <w:p>
            <w:pPr>
              <w:pStyle w:val="12"/>
              <w:spacing w:line="400" w:lineRule="exact"/>
              <w:ind w:left="100" w:firstLine="210" w:firstLineChars="100"/>
              <w:contextualSpacing/>
              <w:jc w:val="both"/>
              <w:rPr>
                <w:rFonts w:hAnsi="宋体"/>
                <w:color w:val="auto"/>
                <w:sz w:val="21"/>
                <w:szCs w:val="21"/>
              </w:rPr>
            </w:pPr>
            <w:r>
              <w:rPr>
                <w:rFonts w:hint="eastAsia" w:hAnsi="宋体"/>
                <w:color w:val="auto"/>
                <w:sz w:val="21"/>
                <w:szCs w:val="21"/>
              </w:rPr>
              <w:t>（</w:t>
            </w:r>
            <w:r>
              <w:rPr>
                <w:rFonts w:hAnsi="宋体"/>
                <w:color w:val="auto"/>
                <w:sz w:val="21"/>
                <w:szCs w:val="21"/>
              </w:rPr>
              <w:t>5</w:t>
            </w:r>
            <w:r>
              <w:rPr>
                <w:rFonts w:hint="eastAsia" w:hAnsi="宋体"/>
                <w:color w:val="auto"/>
                <w:sz w:val="21"/>
                <w:szCs w:val="21"/>
              </w:rPr>
              <w:t>）同一投标人未提交两个以上不同的投标报价，但招标文件要求提交备选投标的除外。</w:t>
            </w:r>
            <w:r>
              <w:rPr>
                <w:rFonts w:hAnsi="宋体"/>
                <w:color w:val="auto"/>
                <w:sz w:val="21"/>
                <w:szCs w:val="21"/>
              </w:rPr>
              <w:t xml:space="preserve"> </w:t>
            </w:r>
          </w:p>
          <w:p>
            <w:pPr>
              <w:pStyle w:val="12"/>
              <w:spacing w:line="400" w:lineRule="exact"/>
              <w:ind w:left="100" w:firstLine="210" w:firstLineChars="100"/>
              <w:contextualSpacing/>
              <w:jc w:val="both"/>
              <w:rPr>
                <w:rFonts w:hint="eastAsia" w:hAnsi="宋体"/>
                <w:color w:val="auto"/>
                <w:sz w:val="21"/>
                <w:szCs w:val="21"/>
              </w:rPr>
            </w:pPr>
            <w:r>
              <w:rPr>
                <w:rFonts w:hint="eastAsia" w:hAnsi="宋体"/>
                <w:color w:val="auto"/>
                <w:sz w:val="21"/>
                <w:szCs w:val="21"/>
              </w:rPr>
              <w:t>（</w:t>
            </w:r>
            <w:r>
              <w:rPr>
                <w:rFonts w:hAnsi="宋体"/>
                <w:color w:val="auto"/>
                <w:sz w:val="21"/>
                <w:szCs w:val="21"/>
              </w:rPr>
              <w:t>6</w:t>
            </w:r>
            <w:r>
              <w:rPr>
                <w:rFonts w:hint="eastAsia" w:hAnsi="宋体"/>
                <w:color w:val="auto"/>
                <w:sz w:val="21"/>
                <w:szCs w:val="21"/>
              </w:rPr>
              <w:t>）投标文件正、副本份数符合招标文件第二章</w:t>
            </w:r>
            <w:r>
              <w:rPr>
                <w:rFonts w:hAnsi="宋体"/>
                <w:color w:val="auto"/>
                <w:sz w:val="21"/>
                <w:szCs w:val="21"/>
              </w:rPr>
              <w:t>“</w:t>
            </w:r>
            <w:r>
              <w:rPr>
                <w:rFonts w:hint="eastAsia" w:hAnsi="宋体"/>
                <w:color w:val="auto"/>
                <w:sz w:val="21"/>
                <w:szCs w:val="21"/>
              </w:rPr>
              <w:t>投标人须知</w:t>
            </w:r>
            <w:r>
              <w:rPr>
                <w:rFonts w:hAnsi="宋体"/>
                <w:color w:val="auto"/>
                <w:sz w:val="21"/>
                <w:szCs w:val="21"/>
              </w:rPr>
              <w:t>”</w:t>
            </w:r>
            <w:r>
              <w:rPr>
                <w:rFonts w:hint="eastAsia" w:hAnsi="宋体"/>
                <w:color w:val="auto"/>
                <w:sz w:val="21"/>
                <w:szCs w:val="21"/>
              </w:rPr>
              <w:t>第</w:t>
            </w:r>
            <w:r>
              <w:rPr>
                <w:rFonts w:hAnsi="宋体"/>
                <w:color w:val="auto"/>
                <w:sz w:val="21"/>
                <w:szCs w:val="21"/>
              </w:rPr>
              <w:t>3.7.4</w:t>
            </w:r>
            <w:r>
              <w:rPr>
                <w:rFonts w:hint="eastAsia" w:hAnsi="宋体"/>
                <w:color w:val="auto"/>
                <w:sz w:val="21"/>
                <w:szCs w:val="21"/>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89" w:hRule="atLeast"/>
          <w:jc w:val="center"/>
        </w:trPr>
        <w:tc>
          <w:tcPr>
            <w:tcW w:w="1076" w:type="dxa"/>
            <w:tcBorders>
              <w:top w:val="nil"/>
            </w:tcBorders>
            <w:noWrap w:val="0"/>
            <w:vAlign w:val="center"/>
          </w:tcPr>
          <w:p>
            <w:pPr>
              <w:adjustRightInd w:val="0"/>
              <w:spacing w:line="360" w:lineRule="exact"/>
              <w:contextualSpacing/>
              <w:jc w:val="center"/>
              <w:rPr>
                <w:rFonts w:ascii="宋体" w:hAnsi="宋体" w:cs="宋体"/>
                <w:sz w:val="21"/>
                <w:szCs w:val="21"/>
              </w:rPr>
            </w:pPr>
            <w:r>
              <w:rPr>
                <w:rFonts w:ascii="宋体" w:hAnsi="宋体" w:cs="宋体"/>
                <w:sz w:val="21"/>
                <w:szCs w:val="21"/>
              </w:rPr>
              <w:t>2.1.1</w:t>
            </w:r>
          </w:p>
          <w:p>
            <w:pPr>
              <w:adjustRightInd w:val="0"/>
              <w:spacing w:line="360" w:lineRule="exact"/>
              <w:contextualSpacing/>
              <w:jc w:val="center"/>
              <w:rPr>
                <w:rFonts w:hint="eastAsia" w:ascii="宋体" w:hAnsi="宋体" w:cs="宋体"/>
                <w:sz w:val="21"/>
                <w:szCs w:val="21"/>
              </w:rPr>
            </w:pPr>
            <w:r>
              <w:rPr>
                <w:rFonts w:ascii="宋体" w:hAnsi="宋体" w:cs="宋体"/>
                <w:sz w:val="21"/>
                <w:szCs w:val="21"/>
              </w:rPr>
              <w:t>2.1.3</w:t>
            </w:r>
          </w:p>
        </w:tc>
        <w:tc>
          <w:tcPr>
            <w:tcW w:w="1143" w:type="dxa"/>
            <w:tcBorders>
              <w:top w:val="nil"/>
            </w:tcBorders>
            <w:noWrap w:val="0"/>
            <w:vAlign w:val="center"/>
          </w:tcPr>
          <w:p>
            <w:pPr>
              <w:adjustRightInd w:val="0"/>
              <w:spacing w:line="360" w:lineRule="exact"/>
              <w:contextualSpacing/>
              <w:jc w:val="center"/>
              <w:rPr>
                <w:rFonts w:hint="eastAsia" w:ascii="宋体" w:hAnsi="宋体" w:cs="宋体"/>
                <w:sz w:val="21"/>
                <w:szCs w:val="21"/>
              </w:rPr>
            </w:pPr>
            <w:r>
              <w:rPr>
                <w:rFonts w:hint="eastAsia" w:ascii="宋体" w:hAnsi="宋体" w:cs="宋体"/>
                <w:sz w:val="21"/>
                <w:szCs w:val="21"/>
              </w:rPr>
              <w:t>形式评审</w:t>
            </w:r>
          </w:p>
          <w:p>
            <w:pPr>
              <w:adjustRightInd w:val="0"/>
              <w:spacing w:line="360" w:lineRule="exact"/>
              <w:contextualSpacing/>
              <w:jc w:val="center"/>
              <w:rPr>
                <w:rFonts w:hint="eastAsia" w:ascii="宋体" w:hAnsi="宋体" w:cs="宋体"/>
                <w:sz w:val="21"/>
                <w:szCs w:val="21"/>
              </w:rPr>
            </w:pPr>
            <w:r>
              <w:rPr>
                <w:rFonts w:hint="eastAsia" w:ascii="宋体" w:hAnsi="宋体" w:cs="宋体"/>
                <w:sz w:val="21"/>
                <w:szCs w:val="21"/>
              </w:rPr>
              <w:t>与响应性</w:t>
            </w:r>
          </w:p>
          <w:p>
            <w:pPr>
              <w:adjustRightInd w:val="0"/>
              <w:spacing w:line="360" w:lineRule="exact"/>
              <w:contextualSpacing/>
              <w:jc w:val="center"/>
              <w:rPr>
                <w:rFonts w:hint="eastAsia" w:ascii="宋体" w:hAnsi="宋体" w:cs="宋体"/>
                <w:sz w:val="21"/>
                <w:szCs w:val="21"/>
              </w:rPr>
            </w:pPr>
            <w:r>
              <w:rPr>
                <w:rFonts w:hint="eastAsia" w:ascii="宋体" w:hAnsi="宋体" w:cs="宋体"/>
                <w:sz w:val="21"/>
                <w:szCs w:val="21"/>
              </w:rPr>
              <w:t>评审标准</w:t>
            </w:r>
          </w:p>
        </w:tc>
        <w:tc>
          <w:tcPr>
            <w:tcW w:w="6995" w:type="dxa"/>
            <w:vMerge w:val="continue"/>
            <w:noWrap w:val="0"/>
            <w:vAlign w:val="center"/>
          </w:tcPr>
          <w:p>
            <w:pPr>
              <w:pStyle w:val="12"/>
              <w:spacing w:line="360" w:lineRule="exact"/>
              <w:ind w:left="100" w:firstLine="210" w:firstLineChars="100"/>
              <w:contextualSpacing/>
              <w:jc w:val="both"/>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89" w:hRule="atLeast"/>
          <w:jc w:val="center"/>
        </w:trPr>
        <w:tc>
          <w:tcPr>
            <w:tcW w:w="1076" w:type="dxa"/>
            <w:noWrap w:val="0"/>
            <w:vAlign w:val="center"/>
          </w:tcPr>
          <w:p>
            <w:pPr>
              <w:pStyle w:val="12"/>
              <w:spacing w:line="360" w:lineRule="exact"/>
              <w:contextualSpacing/>
              <w:jc w:val="center"/>
              <w:rPr>
                <w:color w:val="auto"/>
                <w:sz w:val="21"/>
                <w:szCs w:val="21"/>
              </w:rPr>
            </w:pPr>
            <w:r>
              <w:rPr>
                <w:color w:val="auto"/>
                <w:sz w:val="21"/>
                <w:szCs w:val="21"/>
              </w:rPr>
              <w:t>2.1.2</w:t>
            </w:r>
          </w:p>
        </w:tc>
        <w:tc>
          <w:tcPr>
            <w:tcW w:w="1143" w:type="dxa"/>
            <w:noWrap w:val="0"/>
            <w:vAlign w:val="center"/>
          </w:tcPr>
          <w:p>
            <w:pPr>
              <w:pStyle w:val="12"/>
              <w:spacing w:line="360" w:lineRule="exact"/>
              <w:contextualSpacing/>
              <w:jc w:val="center"/>
              <w:rPr>
                <w:rFonts w:hint="eastAsia"/>
                <w:color w:val="auto"/>
                <w:sz w:val="21"/>
                <w:szCs w:val="21"/>
              </w:rPr>
            </w:pPr>
            <w:r>
              <w:rPr>
                <w:rFonts w:hint="eastAsia"/>
                <w:color w:val="auto"/>
                <w:sz w:val="21"/>
                <w:szCs w:val="21"/>
              </w:rPr>
              <w:t>资格评审</w:t>
            </w:r>
          </w:p>
          <w:p>
            <w:pPr>
              <w:pStyle w:val="12"/>
              <w:spacing w:line="360" w:lineRule="exact"/>
              <w:contextualSpacing/>
              <w:jc w:val="center"/>
              <w:rPr>
                <w:color w:val="auto"/>
                <w:sz w:val="21"/>
                <w:szCs w:val="21"/>
              </w:rPr>
            </w:pPr>
            <w:r>
              <w:rPr>
                <w:rFonts w:hint="eastAsia"/>
                <w:color w:val="auto"/>
                <w:sz w:val="21"/>
                <w:szCs w:val="21"/>
              </w:rPr>
              <w:t>标准</w:t>
            </w:r>
          </w:p>
        </w:tc>
        <w:tc>
          <w:tcPr>
            <w:tcW w:w="6995" w:type="dxa"/>
            <w:noWrap w:val="0"/>
            <w:vAlign w:val="center"/>
          </w:tcPr>
          <w:p>
            <w:pPr>
              <w:pStyle w:val="12"/>
              <w:spacing w:line="360" w:lineRule="exact"/>
              <w:ind w:left="100" w:firstLine="210" w:firstLineChars="100"/>
              <w:contextualSpacing/>
              <w:jc w:val="both"/>
              <w:rPr>
                <w:color w:val="auto"/>
                <w:sz w:val="21"/>
                <w:szCs w:val="21"/>
              </w:rPr>
            </w:pPr>
            <w:r>
              <w:rPr>
                <w:rFonts w:hint="eastAsia"/>
                <w:color w:val="auto"/>
                <w:sz w:val="21"/>
                <w:szCs w:val="21"/>
              </w:rPr>
              <w:t>（</w:t>
            </w:r>
            <w:r>
              <w:rPr>
                <w:color w:val="auto"/>
                <w:sz w:val="21"/>
                <w:szCs w:val="21"/>
              </w:rPr>
              <w:t>1</w:t>
            </w:r>
            <w:r>
              <w:rPr>
                <w:rFonts w:hint="eastAsia"/>
                <w:color w:val="auto"/>
                <w:sz w:val="21"/>
                <w:szCs w:val="21"/>
              </w:rPr>
              <w:t>）投标人具备有效的营业执照、组织机构代码证、监理资质证书、设计资质证书和基本账户开户许可证。</w:t>
            </w:r>
            <w:r>
              <w:rPr>
                <w:color w:val="auto"/>
                <w:sz w:val="21"/>
                <w:szCs w:val="21"/>
              </w:rPr>
              <w:t xml:space="preserve"> </w:t>
            </w:r>
          </w:p>
          <w:p>
            <w:pPr>
              <w:pStyle w:val="12"/>
              <w:spacing w:line="360" w:lineRule="exact"/>
              <w:ind w:left="100" w:firstLine="210" w:firstLineChars="100"/>
              <w:contextualSpacing/>
              <w:jc w:val="both"/>
              <w:rPr>
                <w:color w:val="auto"/>
                <w:sz w:val="21"/>
                <w:szCs w:val="21"/>
              </w:rPr>
            </w:pPr>
            <w:r>
              <w:rPr>
                <w:rFonts w:hint="eastAsia"/>
                <w:color w:val="auto"/>
                <w:sz w:val="21"/>
                <w:szCs w:val="21"/>
              </w:rPr>
              <w:t>（</w:t>
            </w:r>
            <w:r>
              <w:rPr>
                <w:color w:val="auto"/>
                <w:sz w:val="21"/>
                <w:szCs w:val="21"/>
              </w:rPr>
              <w:t>2</w:t>
            </w:r>
            <w:r>
              <w:rPr>
                <w:rFonts w:hint="eastAsia"/>
                <w:color w:val="auto"/>
                <w:sz w:val="21"/>
                <w:szCs w:val="21"/>
              </w:rPr>
              <w:t>）投标人的资质等级符合招标文件规定。</w:t>
            </w:r>
            <w:r>
              <w:rPr>
                <w:color w:val="auto"/>
                <w:sz w:val="21"/>
                <w:szCs w:val="21"/>
              </w:rPr>
              <w:t xml:space="preserve"> </w:t>
            </w:r>
          </w:p>
          <w:p>
            <w:pPr>
              <w:pStyle w:val="12"/>
              <w:spacing w:line="360" w:lineRule="exact"/>
              <w:ind w:left="100" w:firstLine="210" w:firstLineChars="100"/>
              <w:contextualSpacing/>
              <w:jc w:val="both"/>
              <w:rPr>
                <w:color w:val="auto"/>
                <w:sz w:val="21"/>
                <w:szCs w:val="21"/>
              </w:rPr>
            </w:pPr>
            <w:r>
              <w:rPr>
                <w:rFonts w:hint="eastAsia"/>
                <w:color w:val="auto"/>
                <w:sz w:val="21"/>
                <w:szCs w:val="21"/>
              </w:rPr>
              <w:t>（</w:t>
            </w:r>
            <w:r>
              <w:rPr>
                <w:color w:val="auto"/>
                <w:sz w:val="21"/>
                <w:szCs w:val="21"/>
              </w:rPr>
              <w:t>3</w:t>
            </w:r>
            <w:r>
              <w:rPr>
                <w:rFonts w:hint="eastAsia"/>
                <w:color w:val="auto"/>
                <w:sz w:val="21"/>
                <w:szCs w:val="21"/>
              </w:rPr>
              <w:t>）投标人的类似项目业绩符合招标文件规定。</w:t>
            </w:r>
            <w:r>
              <w:rPr>
                <w:color w:val="auto"/>
                <w:sz w:val="21"/>
                <w:szCs w:val="21"/>
              </w:rPr>
              <w:t xml:space="preserve"> </w:t>
            </w:r>
          </w:p>
          <w:p>
            <w:pPr>
              <w:pStyle w:val="12"/>
              <w:spacing w:line="360" w:lineRule="exact"/>
              <w:ind w:left="100" w:firstLine="210" w:firstLineChars="100"/>
              <w:contextualSpacing/>
              <w:jc w:val="both"/>
              <w:rPr>
                <w:color w:val="auto"/>
                <w:sz w:val="21"/>
                <w:szCs w:val="21"/>
              </w:rPr>
            </w:pPr>
            <w:r>
              <w:rPr>
                <w:rFonts w:hint="eastAsia"/>
                <w:color w:val="auto"/>
                <w:sz w:val="21"/>
                <w:szCs w:val="21"/>
              </w:rPr>
              <w:t>（</w:t>
            </w:r>
            <w:r>
              <w:rPr>
                <w:color w:val="auto"/>
                <w:sz w:val="21"/>
                <w:szCs w:val="21"/>
              </w:rPr>
              <w:t>4</w:t>
            </w:r>
            <w:r>
              <w:rPr>
                <w:rFonts w:hint="eastAsia"/>
                <w:color w:val="auto"/>
                <w:sz w:val="21"/>
                <w:szCs w:val="21"/>
              </w:rPr>
              <w:t>）投标人的信誉符合招标文件规定。</w:t>
            </w:r>
            <w:r>
              <w:rPr>
                <w:color w:val="auto"/>
                <w:sz w:val="21"/>
                <w:szCs w:val="21"/>
              </w:rPr>
              <w:t xml:space="preserve"> </w:t>
            </w:r>
          </w:p>
          <w:p>
            <w:pPr>
              <w:pStyle w:val="12"/>
              <w:spacing w:line="360" w:lineRule="exact"/>
              <w:ind w:left="100" w:firstLine="210" w:firstLineChars="100"/>
              <w:contextualSpacing/>
              <w:jc w:val="both"/>
              <w:rPr>
                <w:color w:val="auto"/>
                <w:sz w:val="21"/>
                <w:szCs w:val="21"/>
              </w:rPr>
            </w:pPr>
            <w:r>
              <w:rPr>
                <w:rFonts w:hint="eastAsia"/>
                <w:color w:val="auto"/>
                <w:sz w:val="21"/>
                <w:szCs w:val="21"/>
              </w:rPr>
              <w:t>（</w:t>
            </w:r>
            <w:r>
              <w:rPr>
                <w:color w:val="auto"/>
                <w:sz w:val="21"/>
                <w:szCs w:val="21"/>
              </w:rPr>
              <w:t>5</w:t>
            </w:r>
            <w:r>
              <w:rPr>
                <w:rFonts w:hint="eastAsia"/>
                <w:color w:val="auto"/>
                <w:sz w:val="21"/>
                <w:szCs w:val="21"/>
              </w:rPr>
              <w:t>）投标人的总监理工程或驻地监理工程师资格符合招标文件规定。</w:t>
            </w:r>
            <w:r>
              <w:rPr>
                <w:color w:val="auto"/>
                <w:sz w:val="21"/>
                <w:szCs w:val="21"/>
              </w:rPr>
              <w:t xml:space="preserve"> </w:t>
            </w:r>
          </w:p>
          <w:p>
            <w:pPr>
              <w:pStyle w:val="12"/>
              <w:spacing w:line="360" w:lineRule="exact"/>
              <w:ind w:left="100" w:firstLine="210" w:firstLineChars="100"/>
              <w:contextualSpacing/>
              <w:jc w:val="both"/>
              <w:rPr>
                <w:color w:val="auto"/>
                <w:sz w:val="21"/>
                <w:szCs w:val="21"/>
              </w:rPr>
            </w:pPr>
            <w:r>
              <w:rPr>
                <w:rFonts w:hint="eastAsia"/>
                <w:color w:val="auto"/>
                <w:sz w:val="21"/>
                <w:szCs w:val="21"/>
              </w:rPr>
              <w:t>（6）投标人不存在第二章</w:t>
            </w:r>
            <w:r>
              <w:rPr>
                <w:color w:val="auto"/>
                <w:sz w:val="21"/>
                <w:szCs w:val="21"/>
              </w:rPr>
              <w:t>“</w:t>
            </w:r>
            <w:r>
              <w:rPr>
                <w:rFonts w:hint="eastAsia"/>
                <w:color w:val="auto"/>
                <w:sz w:val="21"/>
                <w:szCs w:val="21"/>
              </w:rPr>
              <w:t>投标人须知</w:t>
            </w:r>
            <w:r>
              <w:rPr>
                <w:color w:val="auto"/>
                <w:sz w:val="21"/>
                <w:szCs w:val="21"/>
              </w:rPr>
              <w:t>”</w:t>
            </w:r>
            <w:r>
              <w:rPr>
                <w:rFonts w:hint="eastAsia"/>
                <w:color w:val="auto"/>
                <w:sz w:val="21"/>
                <w:szCs w:val="21"/>
              </w:rPr>
              <w:t>第</w:t>
            </w:r>
            <w:r>
              <w:rPr>
                <w:color w:val="auto"/>
                <w:sz w:val="21"/>
                <w:szCs w:val="21"/>
              </w:rPr>
              <w:t>1.4.3</w:t>
            </w:r>
            <w:r>
              <w:rPr>
                <w:rFonts w:hint="eastAsia"/>
                <w:color w:val="auto"/>
                <w:sz w:val="21"/>
                <w:szCs w:val="21"/>
              </w:rPr>
              <w:t>项或第</w:t>
            </w:r>
            <w:r>
              <w:rPr>
                <w:color w:val="auto"/>
                <w:sz w:val="21"/>
                <w:szCs w:val="21"/>
              </w:rPr>
              <w:t>1.4.4</w:t>
            </w:r>
            <w:r>
              <w:rPr>
                <w:rFonts w:hint="eastAsia"/>
                <w:color w:val="auto"/>
                <w:sz w:val="21"/>
                <w:szCs w:val="21"/>
              </w:rPr>
              <w:t>项规定的任何一种情形。</w:t>
            </w:r>
            <w:r>
              <w:rPr>
                <w:color w:val="auto"/>
                <w:sz w:val="21"/>
                <w:szCs w:val="21"/>
              </w:rPr>
              <w:t xml:space="preserve"> </w:t>
            </w:r>
          </w:p>
          <w:p>
            <w:pPr>
              <w:pStyle w:val="12"/>
              <w:spacing w:line="360" w:lineRule="exact"/>
              <w:ind w:left="100" w:firstLine="210" w:firstLineChars="100"/>
              <w:contextualSpacing/>
              <w:jc w:val="both"/>
              <w:rPr>
                <w:rFonts w:hint="eastAsia"/>
                <w:color w:val="auto"/>
                <w:sz w:val="21"/>
                <w:szCs w:val="21"/>
              </w:rPr>
            </w:pPr>
            <w:r>
              <w:rPr>
                <w:rFonts w:hint="eastAsia"/>
                <w:color w:val="auto"/>
                <w:sz w:val="21"/>
                <w:szCs w:val="21"/>
              </w:rPr>
              <w:t>（7）投标人符合第二章</w:t>
            </w:r>
            <w:r>
              <w:rPr>
                <w:color w:val="auto"/>
                <w:sz w:val="21"/>
                <w:szCs w:val="21"/>
              </w:rPr>
              <w:t>“</w:t>
            </w:r>
            <w:r>
              <w:rPr>
                <w:rFonts w:hint="eastAsia"/>
                <w:color w:val="auto"/>
                <w:sz w:val="21"/>
                <w:szCs w:val="21"/>
              </w:rPr>
              <w:t>投标人须知</w:t>
            </w:r>
            <w:r>
              <w:rPr>
                <w:color w:val="auto"/>
                <w:sz w:val="21"/>
                <w:szCs w:val="21"/>
              </w:rPr>
              <w:t>”</w:t>
            </w:r>
            <w:r>
              <w:rPr>
                <w:rFonts w:hint="eastAsia"/>
                <w:color w:val="auto"/>
                <w:sz w:val="21"/>
                <w:szCs w:val="21"/>
              </w:rPr>
              <w:t>第</w:t>
            </w:r>
            <w:r>
              <w:rPr>
                <w:color w:val="auto"/>
                <w:sz w:val="21"/>
                <w:szCs w:val="21"/>
              </w:rPr>
              <w:t>1.4.5</w:t>
            </w:r>
            <w:r>
              <w:rPr>
                <w:rFonts w:hint="eastAsia"/>
                <w:color w:val="auto"/>
                <w:sz w:val="21"/>
                <w:szCs w:val="21"/>
              </w:rPr>
              <w:t>项规定。</w:t>
            </w:r>
          </w:p>
          <w:p>
            <w:pPr>
              <w:pStyle w:val="12"/>
              <w:spacing w:line="360" w:lineRule="exact"/>
              <w:ind w:left="100" w:firstLine="210" w:firstLineChars="100"/>
              <w:contextualSpacing/>
              <w:jc w:val="both"/>
              <w:rPr>
                <w:rFonts w:hint="eastAsia"/>
                <w:color w:val="auto"/>
                <w:sz w:val="21"/>
                <w:szCs w:val="21"/>
              </w:rPr>
            </w:pPr>
            <w:r>
              <w:rPr>
                <w:rFonts w:hint="eastAsia"/>
                <w:color w:val="auto"/>
                <w:sz w:val="21"/>
                <w:szCs w:val="21"/>
              </w:rPr>
              <w:t>（8）以联合体形式参与投标的，联合体各方均未再以自己名义单独或参加其他联合体在同一标段中投标；独立参与投标的，投标人未同时参加联合体在同一标段中投标。</w:t>
            </w:r>
            <w:r>
              <w:rPr>
                <w:color w:val="auto"/>
                <w:sz w:val="21"/>
                <w:szCs w:val="21"/>
              </w:rPr>
              <w:t xml:space="preserve"> </w:t>
            </w:r>
          </w:p>
        </w:tc>
      </w:tr>
    </w:tbl>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tbl>
      <w:tblPr>
        <w:tblStyle w:val="9"/>
        <w:tblW w:w="9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79"/>
        <w:gridCol w:w="1556"/>
        <w:gridCol w:w="65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1079" w:type="dxa"/>
            <w:noWrap w:val="0"/>
            <w:vAlign w:val="top"/>
          </w:tcPr>
          <w:p>
            <w:pPr>
              <w:adjustRightInd w:val="0"/>
              <w:contextualSpacing/>
              <w:jc w:val="center"/>
              <w:rPr>
                <w:rFonts w:hint="eastAsia" w:ascii="宋体" w:hAnsi="宋体"/>
                <w:b/>
                <w:sz w:val="21"/>
              </w:rPr>
            </w:pPr>
          </w:p>
          <w:p>
            <w:pPr>
              <w:adjustRightInd w:val="0"/>
              <w:contextualSpacing/>
              <w:jc w:val="center"/>
              <w:rPr>
                <w:rFonts w:hint="eastAsia" w:ascii="宋体" w:hAnsi="宋体"/>
                <w:b/>
                <w:sz w:val="21"/>
              </w:rPr>
            </w:pPr>
            <w:r>
              <w:rPr>
                <w:rFonts w:hint="eastAsia" w:ascii="宋体" w:hAnsi="宋体"/>
                <w:b/>
                <w:sz w:val="21"/>
              </w:rPr>
              <w:t>条款号</w:t>
            </w:r>
          </w:p>
        </w:tc>
        <w:tc>
          <w:tcPr>
            <w:tcW w:w="1556" w:type="dxa"/>
            <w:noWrap w:val="0"/>
            <w:vAlign w:val="top"/>
          </w:tcPr>
          <w:p>
            <w:pPr>
              <w:jc w:val="center"/>
              <w:rPr>
                <w:rFonts w:ascii="宋体" w:hAnsi="宋体"/>
                <w:b/>
                <w:sz w:val="21"/>
              </w:rPr>
            </w:pPr>
          </w:p>
          <w:p>
            <w:pPr>
              <w:adjustRightInd w:val="0"/>
              <w:contextualSpacing/>
              <w:jc w:val="center"/>
              <w:rPr>
                <w:rFonts w:hint="eastAsia" w:ascii="宋体" w:hAnsi="宋体"/>
                <w:b/>
                <w:sz w:val="21"/>
              </w:rPr>
            </w:pPr>
            <w:r>
              <w:rPr>
                <w:rFonts w:hint="eastAsia" w:ascii="宋体" w:hAnsi="宋体"/>
                <w:b/>
                <w:sz w:val="21"/>
              </w:rPr>
              <w:t>条款内容</w:t>
            </w:r>
          </w:p>
        </w:tc>
        <w:tc>
          <w:tcPr>
            <w:tcW w:w="6579" w:type="dxa"/>
            <w:noWrap w:val="0"/>
            <w:vAlign w:val="top"/>
          </w:tcPr>
          <w:p>
            <w:pPr>
              <w:jc w:val="center"/>
              <w:rPr>
                <w:rFonts w:ascii="宋体" w:hAnsi="宋体"/>
                <w:b/>
                <w:sz w:val="21"/>
              </w:rPr>
            </w:pPr>
          </w:p>
          <w:p>
            <w:pPr>
              <w:adjustRightInd w:val="0"/>
              <w:contextualSpacing/>
              <w:jc w:val="center"/>
              <w:rPr>
                <w:rFonts w:hint="eastAsia" w:ascii="宋体" w:hAnsi="宋体"/>
                <w:b/>
                <w:sz w:val="21"/>
              </w:rPr>
            </w:pPr>
            <w:r>
              <w:rPr>
                <w:rFonts w:hint="eastAsia" w:ascii="宋体" w:hAnsi="宋体"/>
                <w:b/>
                <w:sz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78" w:hRule="atLeast"/>
          <w:jc w:val="center"/>
        </w:trPr>
        <w:tc>
          <w:tcPr>
            <w:tcW w:w="1079" w:type="dxa"/>
            <w:noWrap w:val="0"/>
            <w:vAlign w:val="center"/>
          </w:tcPr>
          <w:p>
            <w:pPr>
              <w:pStyle w:val="12"/>
              <w:spacing w:line="360" w:lineRule="exact"/>
              <w:contextualSpacing/>
              <w:jc w:val="center"/>
              <w:rPr>
                <w:color w:val="auto"/>
                <w:sz w:val="21"/>
                <w:szCs w:val="21"/>
              </w:rPr>
            </w:pPr>
            <w:r>
              <w:rPr>
                <w:color w:val="auto"/>
                <w:sz w:val="21"/>
                <w:szCs w:val="21"/>
              </w:rPr>
              <w:t xml:space="preserve">2.2.1 </w:t>
            </w:r>
          </w:p>
        </w:tc>
        <w:tc>
          <w:tcPr>
            <w:tcW w:w="1556" w:type="dxa"/>
            <w:noWrap w:val="0"/>
            <w:vAlign w:val="center"/>
          </w:tcPr>
          <w:p>
            <w:pPr>
              <w:pStyle w:val="11"/>
              <w:adjustRightInd w:val="0"/>
              <w:spacing w:line="360" w:lineRule="exact"/>
              <w:contextualSpacing/>
              <w:jc w:val="center"/>
              <w:rPr>
                <w:rFonts w:ascii="宋体" w:hAnsi="宋体" w:cs="宋体"/>
                <w:sz w:val="21"/>
                <w:szCs w:val="21"/>
                <w:lang w:eastAsia="zh-CN"/>
              </w:rPr>
            </w:pPr>
            <w:r>
              <w:rPr>
                <w:rFonts w:hint="eastAsia" w:ascii="宋体" w:hAnsi="宋体" w:cs="宋体"/>
                <w:sz w:val="21"/>
                <w:szCs w:val="21"/>
                <w:lang w:eastAsia="zh-CN"/>
              </w:rPr>
              <w:t>分值构成</w:t>
            </w:r>
          </w:p>
          <w:p>
            <w:pPr>
              <w:pStyle w:val="11"/>
              <w:adjustRightInd w:val="0"/>
              <w:spacing w:line="360" w:lineRule="exact"/>
              <w:contextualSpacing/>
              <w:jc w:val="center"/>
              <w:rPr>
                <w:sz w:val="21"/>
                <w:szCs w:val="21"/>
              </w:rPr>
            </w:pPr>
            <w:r>
              <w:rPr>
                <w:rFonts w:hint="eastAsia" w:ascii="宋体" w:hAnsi="宋体" w:cs="宋体"/>
                <w:sz w:val="21"/>
                <w:szCs w:val="21"/>
                <w:lang w:eastAsia="zh-CN"/>
              </w:rPr>
              <w:t>（总分</w:t>
            </w:r>
            <w:r>
              <w:rPr>
                <w:rFonts w:ascii="宋体" w:hAnsi="宋体" w:cs="宋体"/>
                <w:spacing w:val="-51"/>
                <w:sz w:val="21"/>
                <w:szCs w:val="21"/>
                <w:lang w:eastAsia="zh-CN"/>
              </w:rPr>
              <w:t xml:space="preserve"> </w:t>
            </w:r>
            <w:r>
              <w:rPr>
                <w:rFonts w:ascii="宋体" w:hAnsi="宋体"/>
                <w:sz w:val="21"/>
                <w:szCs w:val="21"/>
                <w:lang w:eastAsia="zh-CN"/>
              </w:rPr>
              <w:t>100</w:t>
            </w:r>
            <w:r>
              <w:rPr>
                <w:rFonts w:hint="eastAsia" w:ascii="宋体" w:hAnsi="宋体" w:cs="宋体"/>
                <w:sz w:val="21"/>
                <w:szCs w:val="21"/>
                <w:lang w:eastAsia="zh-CN"/>
              </w:rPr>
              <w:t>分）</w:t>
            </w:r>
          </w:p>
        </w:tc>
        <w:tc>
          <w:tcPr>
            <w:tcW w:w="6579" w:type="dxa"/>
            <w:noWrap w:val="0"/>
            <w:vAlign w:val="center"/>
          </w:tcPr>
          <w:p>
            <w:pPr>
              <w:pStyle w:val="12"/>
              <w:spacing w:line="360" w:lineRule="exact"/>
              <w:ind w:firstLine="422" w:firstLineChars="200"/>
              <w:contextualSpacing/>
              <w:rPr>
                <w:rFonts w:hint="eastAsia"/>
                <w:color w:val="auto"/>
                <w:sz w:val="21"/>
                <w:szCs w:val="21"/>
              </w:rPr>
            </w:pPr>
            <w:r>
              <w:rPr>
                <w:rFonts w:hint="eastAsia"/>
                <w:b/>
                <w:bCs/>
                <w:color w:val="auto"/>
                <w:sz w:val="21"/>
                <w:szCs w:val="21"/>
              </w:rPr>
              <w:t>第一个信封（商务及技术文件）评分分值构成：</w:t>
            </w:r>
            <w:r>
              <w:rPr>
                <w:rFonts w:hint="eastAsia"/>
                <w:color w:val="auto"/>
                <w:sz w:val="21"/>
                <w:szCs w:val="21"/>
              </w:rPr>
              <w:t xml:space="preserve"> </w:t>
            </w:r>
          </w:p>
          <w:p>
            <w:pPr>
              <w:pStyle w:val="12"/>
              <w:spacing w:line="360" w:lineRule="exact"/>
              <w:ind w:firstLine="420" w:firstLineChars="200"/>
              <w:contextualSpacing/>
              <w:rPr>
                <w:rFonts w:hint="eastAsia"/>
                <w:color w:val="auto"/>
                <w:sz w:val="21"/>
                <w:szCs w:val="21"/>
              </w:rPr>
            </w:pPr>
            <w:r>
              <w:rPr>
                <w:rFonts w:hint="eastAsia"/>
                <w:color w:val="auto"/>
                <w:sz w:val="21"/>
                <w:szCs w:val="21"/>
              </w:rPr>
              <w:t>技术建议书：</w:t>
            </w:r>
            <w:r>
              <w:rPr>
                <w:rFonts w:hint="eastAsia"/>
                <w:color w:val="auto"/>
                <w:sz w:val="21"/>
                <w:szCs w:val="21"/>
                <w:u w:val="single"/>
              </w:rPr>
              <w:t xml:space="preserve"> </w:t>
            </w:r>
            <w:r>
              <w:rPr>
                <w:rFonts w:hint="eastAsia"/>
                <w:color w:val="auto"/>
                <w:sz w:val="21"/>
                <w:szCs w:val="21"/>
                <w:u w:val="single"/>
                <w:lang w:val="en-US" w:eastAsia="zh-CN"/>
              </w:rPr>
              <w:t>35</w:t>
            </w:r>
            <w:r>
              <w:rPr>
                <w:rFonts w:hint="eastAsia"/>
                <w:color w:val="auto"/>
                <w:sz w:val="21"/>
                <w:szCs w:val="21"/>
                <w:u w:val="single"/>
              </w:rPr>
              <w:t xml:space="preserve"> </w:t>
            </w:r>
            <w:r>
              <w:rPr>
                <w:rFonts w:hint="eastAsia"/>
                <w:color w:val="auto"/>
                <w:sz w:val="21"/>
                <w:szCs w:val="21"/>
              </w:rPr>
              <w:t>分；</w:t>
            </w:r>
          </w:p>
          <w:p>
            <w:pPr>
              <w:pStyle w:val="12"/>
              <w:spacing w:line="360" w:lineRule="exact"/>
              <w:ind w:firstLine="420" w:firstLineChars="200"/>
              <w:contextualSpacing/>
              <w:rPr>
                <w:rFonts w:hint="eastAsia"/>
                <w:color w:val="auto"/>
                <w:sz w:val="21"/>
                <w:szCs w:val="21"/>
                <w:highlight w:val="none"/>
              </w:rPr>
            </w:pPr>
            <w:r>
              <w:rPr>
                <w:rFonts w:hint="eastAsia"/>
                <w:color w:val="auto"/>
                <w:sz w:val="21"/>
                <w:szCs w:val="21"/>
              </w:rPr>
              <w:t>主要人员：</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 xml:space="preserve">30 </w:t>
            </w:r>
            <w:r>
              <w:rPr>
                <w:rFonts w:hint="eastAsia"/>
                <w:color w:val="auto"/>
                <w:sz w:val="21"/>
                <w:szCs w:val="21"/>
                <w:highlight w:val="none"/>
              </w:rPr>
              <w:t>分；</w:t>
            </w:r>
          </w:p>
          <w:p>
            <w:pPr>
              <w:pStyle w:val="12"/>
              <w:spacing w:line="360" w:lineRule="exact"/>
              <w:ind w:firstLine="420" w:firstLineChars="200"/>
              <w:contextualSpacing/>
              <w:rPr>
                <w:rFonts w:hint="eastAsia"/>
                <w:color w:val="auto"/>
                <w:sz w:val="21"/>
                <w:szCs w:val="21"/>
                <w:highlight w:val="none"/>
              </w:rPr>
            </w:pPr>
            <w:r>
              <w:rPr>
                <w:rFonts w:hint="eastAsia"/>
                <w:color w:val="auto"/>
                <w:sz w:val="21"/>
                <w:szCs w:val="21"/>
                <w:highlight w:val="none"/>
              </w:rPr>
              <w:t>其他因素：业绩：</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1</w:t>
            </w:r>
            <w:r>
              <w:rPr>
                <w:rFonts w:hint="eastAsia"/>
                <w:color w:val="auto"/>
                <w:sz w:val="21"/>
                <w:szCs w:val="21"/>
                <w:highlight w:val="none"/>
                <w:u w:val="single"/>
              </w:rPr>
              <w:t xml:space="preserve">5 </w:t>
            </w:r>
            <w:r>
              <w:rPr>
                <w:rFonts w:hint="eastAsia"/>
                <w:color w:val="auto"/>
                <w:sz w:val="21"/>
                <w:szCs w:val="21"/>
                <w:highlight w:val="none"/>
              </w:rPr>
              <w:t>分；</w:t>
            </w:r>
          </w:p>
          <w:p>
            <w:pPr>
              <w:pStyle w:val="12"/>
              <w:spacing w:line="360" w:lineRule="exact"/>
              <w:ind w:firstLine="1470" w:firstLineChars="700"/>
              <w:contextualSpacing/>
              <w:rPr>
                <w:rFonts w:hint="eastAsia"/>
                <w:color w:val="auto"/>
                <w:sz w:val="21"/>
                <w:szCs w:val="21"/>
                <w:highlight w:val="none"/>
              </w:rPr>
            </w:pPr>
            <w:r>
              <w:rPr>
                <w:rFonts w:hint="eastAsia"/>
                <w:color w:val="auto"/>
                <w:sz w:val="21"/>
                <w:szCs w:val="21"/>
                <w:highlight w:val="none"/>
              </w:rPr>
              <w:t>履约信誉：</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10</w:t>
            </w:r>
            <w:r>
              <w:rPr>
                <w:rFonts w:hint="eastAsia"/>
                <w:color w:val="auto"/>
                <w:sz w:val="21"/>
                <w:szCs w:val="21"/>
                <w:highlight w:val="none"/>
                <w:u w:val="single"/>
              </w:rPr>
              <w:t xml:space="preserve"> </w:t>
            </w:r>
            <w:r>
              <w:rPr>
                <w:rFonts w:hint="eastAsia"/>
                <w:color w:val="auto"/>
                <w:sz w:val="21"/>
                <w:szCs w:val="21"/>
                <w:highlight w:val="none"/>
              </w:rPr>
              <w:t>分；</w:t>
            </w:r>
          </w:p>
          <w:p>
            <w:pPr>
              <w:pStyle w:val="12"/>
              <w:spacing w:line="360" w:lineRule="exact"/>
              <w:ind w:firstLine="422" w:firstLineChars="200"/>
              <w:contextualSpacing/>
              <w:rPr>
                <w:rFonts w:hint="eastAsia"/>
                <w:color w:val="auto"/>
                <w:sz w:val="21"/>
                <w:szCs w:val="21"/>
              </w:rPr>
            </w:pPr>
            <w:r>
              <w:rPr>
                <w:rFonts w:hint="eastAsia"/>
                <w:b/>
                <w:bCs/>
                <w:color w:val="auto"/>
                <w:sz w:val="21"/>
                <w:szCs w:val="21"/>
                <w:highlight w:val="none"/>
              </w:rPr>
              <w:t>第二个信封（报价文件）评</w:t>
            </w:r>
            <w:r>
              <w:rPr>
                <w:rFonts w:hint="eastAsia"/>
                <w:b/>
                <w:bCs/>
                <w:color w:val="auto"/>
                <w:sz w:val="21"/>
                <w:szCs w:val="21"/>
              </w:rPr>
              <w:t>分分值构成</w:t>
            </w:r>
            <w:r>
              <w:rPr>
                <w:rFonts w:hint="eastAsia"/>
                <w:color w:val="auto"/>
                <w:sz w:val="21"/>
                <w:szCs w:val="21"/>
              </w:rPr>
              <w:t>：</w:t>
            </w:r>
          </w:p>
          <w:p>
            <w:pPr>
              <w:pStyle w:val="12"/>
              <w:spacing w:line="360" w:lineRule="exact"/>
              <w:ind w:firstLine="420" w:firstLineChars="200"/>
              <w:contextualSpacing/>
              <w:rPr>
                <w:rFonts w:hint="eastAsia"/>
                <w:color w:val="auto"/>
                <w:sz w:val="21"/>
                <w:szCs w:val="21"/>
              </w:rPr>
            </w:pPr>
            <w:r>
              <w:rPr>
                <w:rFonts w:hint="eastAsia"/>
                <w:color w:val="auto"/>
                <w:sz w:val="21"/>
                <w:szCs w:val="21"/>
              </w:rPr>
              <w:t>评标价：</w:t>
            </w:r>
            <w:r>
              <w:rPr>
                <w:rFonts w:hint="eastAsia"/>
                <w:color w:val="auto"/>
                <w:sz w:val="21"/>
                <w:szCs w:val="21"/>
                <w:u w:val="single"/>
              </w:rPr>
              <w:t xml:space="preserve"> 10 </w:t>
            </w:r>
            <w:r>
              <w:rPr>
                <w:rFonts w:hint="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71" w:hRule="atLeast"/>
          <w:jc w:val="center"/>
        </w:trPr>
        <w:tc>
          <w:tcPr>
            <w:tcW w:w="1079" w:type="dxa"/>
            <w:noWrap w:val="0"/>
            <w:vAlign w:val="center"/>
          </w:tcPr>
          <w:p>
            <w:pPr>
              <w:pStyle w:val="12"/>
              <w:spacing w:line="360" w:lineRule="exact"/>
              <w:contextualSpacing/>
              <w:jc w:val="center"/>
              <w:rPr>
                <w:color w:val="auto"/>
                <w:sz w:val="21"/>
                <w:szCs w:val="21"/>
              </w:rPr>
            </w:pPr>
            <w:r>
              <w:rPr>
                <w:color w:val="auto"/>
                <w:sz w:val="21"/>
                <w:szCs w:val="21"/>
              </w:rPr>
              <w:t>2.2.2</w:t>
            </w:r>
          </w:p>
        </w:tc>
        <w:tc>
          <w:tcPr>
            <w:tcW w:w="1556" w:type="dxa"/>
            <w:noWrap w:val="0"/>
            <w:vAlign w:val="center"/>
          </w:tcPr>
          <w:p>
            <w:pPr>
              <w:pStyle w:val="12"/>
              <w:spacing w:line="360" w:lineRule="exact"/>
              <w:contextualSpacing/>
              <w:jc w:val="center"/>
              <w:rPr>
                <w:color w:val="auto"/>
                <w:sz w:val="21"/>
                <w:szCs w:val="21"/>
              </w:rPr>
            </w:pPr>
            <w:r>
              <w:rPr>
                <w:rFonts w:hint="eastAsia"/>
                <w:color w:val="auto"/>
                <w:sz w:val="21"/>
                <w:szCs w:val="21"/>
              </w:rPr>
              <w:t>评标基准价计算方法</w:t>
            </w:r>
          </w:p>
        </w:tc>
        <w:tc>
          <w:tcPr>
            <w:tcW w:w="6579" w:type="dxa"/>
            <w:noWrap w:val="0"/>
            <w:vAlign w:val="center"/>
          </w:tcPr>
          <w:p>
            <w:pPr>
              <w:pStyle w:val="12"/>
              <w:spacing w:line="360" w:lineRule="exact"/>
              <w:ind w:left="100" w:leftChars="50" w:right="100" w:rightChars="50" w:firstLine="420" w:firstLineChars="200"/>
              <w:contextualSpacing/>
              <w:rPr>
                <w:rFonts w:hint="eastAsia"/>
                <w:color w:val="auto"/>
                <w:sz w:val="21"/>
                <w:szCs w:val="21"/>
              </w:rPr>
            </w:pPr>
            <w:r>
              <w:rPr>
                <w:rFonts w:hint="eastAsia"/>
                <w:color w:val="auto"/>
                <w:sz w:val="21"/>
                <w:szCs w:val="21"/>
              </w:rPr>
              <w:t>评标基准价的计算：</w:t>
            </w:r>
          </w:p>
          <w:p>
            <w:pPr>
              <w:pStyle w:val="12"/>
              <w:spacing w:line="360" w:lineRule="exact"/>
              <w:ind w:left="100" w:leftChars="50" w:right="100" w:rightChars="50" w:firstLine="420" w:firstLineChars="200"/>
              <w:contextualSpacing/>
              <w:rPr>
                <w:rFonts w:hint="eastAsia"/>
                <w:color w:val="auto"/>
                <w:sz w:val="21"/>
                <w:szCs w:val="21"/>
              </w:rPr>
            </w:pPr>
            <w:r>
              <w:rPr>
                <w:rFonts w:hint="eastAsia"/>
                <w:color w:val="auto"/>
                <w:sz w:val="21"/>
                <w:szCs w:val="21"/>
              </w:rPr>
              <w:t>在第二个信封开标时，招标人将当场计算并宣布评标基准价。</w:t>
            </w:r>
          </w:p>
          <w:p>
            <w:pPr>
              <w:pStyle w:val="12"/>
              <w:spacing w:line="360" w:lineRule="exact"/>
              <w:ind w:left="100" w:leftChars="50" w:right="100" w:rightChars="50" w:firstLine="420" w:firstLineChars="200"/>
              <w:contextualSpacing/>
              <w:rPr>
                <w:rFonts w:hint="eastAsia"/>
                <w:color w:val="auto"/>
                <w:sz w:val="21"/>
                <w:szCs w:val="21"/>
              </w:rPr>
            </w:pPr>
            <w:r>
              <w:rPr>
                <w:rFonts w:hint="eastAsia"/>
                <w:color w:val="auto"/>
                <w:sz w:val="21"/>
                <w:szCs w:val="21"/>
              </w:rPr>
              <w:t>（1）评标价的确定：</w:t>
            </w:r>
          </w:p>
          <w:p>
            <w:pPr>
              <w:pStyle w:val="12"/>
              <w:spacing w:line="360" w:lineRule="exact"/>
              <w:ind w:left="100" w:leftChars="50" w:right="100" w:rightChars="50" w:firstLine="420" w:firstLineChars="200"/>
              <w:contextualSpacing/>
              <w:rPr>
                <w:rFonts w:hint="eastAsia"/>
                <w:color w:val="auto"/>
                <w:sz w:val="21"/>
                <w:szCs w:val="21"/>
              </w:rPr>
            </w:pPr>
            <w:r>
              <w:rPr>
                <w:rFonts w:hint="eastAsia"/>
                <w:color w:val="auto"/>
                <w:sz w:val="21"/>
                <w:szCs w:val="21"/>
              </w:rPr>
              <w:t>评标价=投标函文字报价。</w:t>
            </w:r>
          </w:p>
          <w:p>
            <w:pPr>
              <w:pStyle w:val="12"/>
              <w:spacing w:line="360" w:lineRule="exact"/>
              <w:ind w:left="100" w:leftChars="50" w:right="100" w:rightChars="50" w:firstLine="420" w:firstLineChars="200"/>
              <w:contextualSpacing/>
              <w:rPr>
                <w:rFonts w:hint="eastAsia"/>
                <w:color w:val="auto"/>
                <w:sz w:val="21"/>
                <w:szCs w:val="21"/>
              </w:rPr>
            </w:pPr>
            <w:r>
              <w:rPr>
                <w:rFonts w:hint="eastAsia"/>
                <w:color w:val="auto"/>
                <w:sz w:val="21"/>
                <w:szCs w:val="21"/>
              </w:rPr>
              <w:t>（2）评标价平均值的计算：</w:t>
            </w:r>
          </w:p>
          <w:p>
            <w:pPr>
              <w:spacing w:line="360" w:lineRule="exact"/>
              <w:ind w:left="100" w:leftChars="50" w:right="100" w:rightChars="50" w:firstLine="420" w:firstLineChars="200"/>
              <w:rPr>
                <w:rFonts w:hint="eastAsia" w:ascii="宋体" w:cs="宋体"/>
                <w:sz w:val="21"/>
                <w:szCs w:val="21"/>
              </w:rPr>
            </w:pPr>
            <w:r>
              <w:rPr>
                <w:rFonts w:hint="eastAsia" w:ascii="宋体" w:cs="宋体"/>
                <w:sz w:val="21"/>
                <w:szCs w:val="21"/>
              </w:rPr>
              <w:t>除按第二章“投标人须知”第5.2.5项规定开标时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pStyle w:val="12"/>
              <w:spacing w:line="360" w:lineRule="exact"/>
              <w:ind w:left="100" w:leftChars="50" w:right="100" w:rightChars="50" w:firstLine="420" w:firstLineChars="200"/>
              <w:contextualSpacing/>
              <w:rPr>
                <w:rFonts w:hint="eastAsia"/>
                <w:color w:val="auto"/>
                <w:sz w:val="21"/>
                <w:szCs w:val="21"/>
              </w:rPr>
            </w:pPr>
            <w:r>
              <w:rPr>
                <w:rFonts w:hint="eastAsia"/>
                <w:color w:val="auto"/>
                <w:sz w:val="21"/>
                <w:szCs w:val="21"/>
              </w:rPr>
              <w:t>（3）评标基准价的确定：</w:t>
            </w:r>
          </w:p>
          <w:p>
            <w:pPr>
              <w:spacing w:line="360" w:lineRule="exact"/>
              <w:ind w:left="200" w:leftChars="100" w:right="100" w:rightChars="50" w:firstLine="200" w:firstLineChars="100"/>
              <w:rPr>
                <w:szCs w:val="21"/>
              </w:rPr>
            </w:pPr>
            <w:r>
              <w:rPr>
                <w:rFonts w:hint="eastAsia"/>
                <w:szCs w:val="21"/>
              </w:rPr>
              <w:t>评标基准价=（A+B）/2</w:t>
            </w:r>
          </w:p>
          <w:p>
            <w:pPr>
              <w:spacing w:line="360" w:lineRule="exact"/>
              <w:ind w:left="200" w:leftChars="100" w:right="100" w:rightChars="50" w:firstLine="200" w:firstLineChars="100"/>
              <w:rPr>
                <w:szCs w:val="21"/>
              </w:rPr>
            </w:pPr>
            <w:r>
              <w:rPr>
                <w:rFonts w:hint="eastAsia"/>
                <w:szCs w:val="21"/>
              </w:rPr>
              <w:t>式中：A为最高限价；</w:t>
            </w:r>
          </w:p>
          <w:p>
            <w:pPr>
              <w:spacing w:line="360" w:lineRule="exact"/>
              <w:ind w:right="100" w:rightChars="50" w:firstLine="1000" w:firstLineChars="500"/>
              <w:rPr>
                <w:szCs w:val="21"/>
              </w:rPr>
            </w:pPr>
            <w:r>
              <w:rPr>
                <w:rFonts w:hint="eastAsia"/>
                <w:szCs w:val="21"/>
              </w:rPr>
              <w:t>B为评标价平均值。</w:t>
            </w:r>
          </w:p>
          <w:p>
            <w:pPr>
              <w:pStyle w:val="12"/>
              <w:spacing w:line="360" w:lineRule="exact"/>
              <w:ind w:left="100" w:leftChars="50" w:right="100" w:rightChars="50" w:firstLine="420" w:firstLineChars="200"/>
              <w:contextualSpacing/>
              <w:rPr>
                <w:rFonts w:hint="eastAsia"/>
                <w:color w:val="auto"/>
                <w:sz w:val="21"/>
                <w:szCs w:val="21"/>
              </w:rPr>
            </w:pPr>
            <w:r>
              <w:rPr>
                <w:rFonts w:hint="eastAsia"/>
                <w:color w:val="auto"/>
                <w:sz w:val="21"/>
                <w:szCs w:val="21"/>
              </w:rPr>
              <w:t>第二个信封开标后，如果投标人认为某一标段的评标基准价计算有误，有权在开标时提出异议，经监标人当场核实确认之后，可重新宣布评标基准价。经评标委员会确认后的评标基准价在本次评标期间保持不变，不随任何因素发生变化</w:t>
            </w:r>
            <w:r>
              <w:rPr>
                <w:rFonts w:hint="eastAsia" w:ascii="仿宋_GB2312" w:hAnsi="仿宋_GB2312" w:eastAsia="仿宋_GB2312" w:cs="仿宋_GB2312"/>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12" w:hRule="atLeast"/>
          <w:jc w:val="center"/>
        </w:trPr>
        <w:tc>
          <w:tcPr>
            <w:tcW w:w="1079" w:type="dxa"/>
            <w:noWrap w:val="0"/>
            <w:vAlign w:val="center"/>
          </w:tcPr>
          <w:p>
            <w:pPr>
              <w:pStyle w:val="12"/>
              <w:spacing w:line="360" w:lineRule="exact"/>
              <w:contextualSpacing/>
              <w:jc w:val="center"/>
              <w:rPr>
                <w:color w:val="auto"/>
                <w:sz w:val="21"/>
                <w:szCs w:val="21"/>
              </w:rPr>
            </w:pPr>
            <w:r>
              <w:rPr>
                <w:color w:val="auto"/>
                <w:sz w:val="21"/>
                <w:szCs w:val="21"/>
              </w:rPr>
              <w:t>2.2.3</w:t>
            </w:r>
          </w:p>
        </w:tc>
        <w:tc>
          <w:tcPr>
            <w:tcW w:w="1556" w:type="dxa"/>
            <w:noWrap w:val="0"/>
            <w:vAlign w:val="center"/>
          </w:tcPr>
          <w:p>
            <w:pPr>
              <w:pStyle w:val="12"/>
              <w:spacing w:line="360" w:lineRule="exact"/>
              <w:contextualSpacing/>
              <w:jc w:val="center"/>
              <w:rPr>
                <w:rFonts w:hint="eastAsia"/>
                <w:color w:val="auto"/>
                <w:sz w:val="21"/>
                <w:szCs w:val="21"/>
              </w:rPr>
            </w:pPr>
            <w:r>
              <w:rPr>
                <w:rFonts w:hint="eastAsia"/>
                <w:color w:val="auto"/>
                <w:sz w:val="21"/>
                <w:szCs w:val="21"/>
              </w:rPr>
              <w:t>评标价的偏差率计算公式</w:t>
            </w:r>
          </w:p>
        </w:tc>
        <w:tc>
          <w:tcPr>
            <w:tcW w:w="6579" w:type="dxa"/>
            <w:noWrap w:val="0"/>
            <w:vAlign w:val="center"/>
          </w:tcPr>
          <w:p>
            <w:pPr>
              <w:pStyle w:val="12"/>
              <w:spacing w:line="360" w:lineRule="exact"/>
              <w:ind w:firstLine="420" w:firstLineChars="200"/>
              <w:contextualSpacing/>
              <w:rPr>
                <w:rFonts w:hint="eastAsia"/>
                <w:color w:val="auto"/>
                <w:sz w:val="21"/>
                <w:szCs w:val="21"/>
              </w:rPr>
            </w:pPr>
            <w:r>
              <w:rPr>
                <w:rFonts w:hint="eastAsia"/>
                <w:color w:val="auto"/>
                <w:sz w:val="21"/>
                <w:szCs w:val="21"/>
              </w:rPr>
              <w:t>偏差率=100% ×（投标人评标价－评标基准价）/评标基准价</w:t>
            </w:r>
          </w:p>
          <w:p>
            <w:pPr>
              <w:pStyle w:val="12"/>
              <w:spacing w:line="360" w:lineRule="exact"/>
              <w:ind w:firstLine="420" w:firstLineChars="200"/>
              <w:contextualSpacing/>
              <w:rPr>
                <w:rFonts w:hint="eastAsia"/>
                <w:color w:val="auto"/>
                <w:sz w:val="21"/>
                <w:szCs w:val="21"/>
              </w:rPr>
            </w:pPr>
            <w:r>
              <w:rPr>
                <w:rFonts w:hint="eastAsia"/>
                <w:color w:val="auto"/>
                <w:sz w:val="21"/>
                <w:szCs w:val="21"/>
              </w:rPr>
              <w:t>偏差率保留</w:t>
            </w:r>
            <w:r>
              <w:rPr>
                <w:rFonts w:hint="eastAsia"/>
                <w:color w:val="auto"/>
                <w:sz w:val="21"/>
                <w:szCs w:val="21"/>
                <w:u w:val="single"/>
              </w:rPr>
              <w:t xml:space="preserve"> 2 </w:t>
            </w:r>
            <w:r>
              <w:rPr>
                <w:rFonts w:hint="eastAsia"/>
                <w:color w:val="auto"/>
                <w:sz w:val="21"/>
                <w:szCs w:val="21"/>
              </w:rPr>
              <w:t>位小数</w:t>
            </w:r>
          </w:p>
        </w:tc>
      </w:tr>
    </w:tbl>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rPr>
          <w:rFonts w:hint="eastAsia" w:ascii="宋体" w:hAnsi="宋体"/>
          <w:sz w:val="21"/>
        </w:rPr>
      </w:pPr>
    </w:p>
    <w:p>
      <w:pPr>
        <w:adjustRightInd w:val="0"/>
        <w:contextualSpacing/>
        <w:jc w:val="right"/>
        <w:rPr>
          <w:rFonts w:hint="eastAsia" w:ascii="宋体" w:hAnsi="宋体"/>
          <w:sz w:val="21"/>
        </w:rPr>
      </w:pPr>
      <w:r>
        <w:rPr>
          <w:rFonts w:hint="eastAsia" w:ascii="宋体" w:hAnsi="宋体" w:cs="宋体"/>
          <w:sz w:val="21"/>
          <w:szCs w:val="21"/>
        </w:rPr>
        <w:t>续上表</w:t>
      </w:r>
    </w:p>
    <w:tbl>
      <w:tblPr>
        <w:tblStyle w:val="9"/>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438"/>
        <w:gridCol w:w="439"/>
        <w:gridCol w:w="1021"/>
        <w:gridCol w:w="1319"/>
        <w:gridCol w:w="619"/>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blHeader/>
          <w:jc w:val="center"/>
        </w:trPr>
        <w:tc>
          <w:tcPr>
            <w:tcW w:w="1207" w:type="dxa"/>
            <w:vMerge w:val="restart"/>
            <w:tcBorders>
              <w:top w:val="single" w:color="auto" w:sz="4" w:space="0"/>
            </w:tcBorders>
            <w:noWrap w:val="0"/>
            <w:vAlign w:val="center"/>
          </w:tcPr>
          <w:p>
            <w:pPr>
              <w:spacing w:line="360" w:lineRule="exact"/>
              <w:jc w:val="center"/>
              <w:rPr>
                <w:b/>
                <w:sz w:val="21"/>
                <w:szCs w:val="21"/>
              </w:rPr>
            </w:pPr>
            <w:r>
              <w:rPr>
                <w:b/>
                <w:sz w:val="21"/>
                <w:szCs w:val="21"/>
              </w:rPr>
              <w:t>条款号</w:t>
            </w:r>
          </w:p>
        </w:tc>
        <w:tc>
          <w:tcPr>
            <w:tcW w:w="3836" w:type="dxa"/>
            <w:gridSpan w:val="5"/>
            <w:tcBorders>
              <w:top w:val="single" w:color="auto" w:sz="4" w:space="0"/>
            </w:tcBorders>
            <w:noWrap w:val="0"/>
            <w:vAlign w:val="center"/>
          </w:tcPr>
          <w:p>
            <w:pPr>
              <w:spacing w:line="360" w:lineRule="exact"/>
              <w:jc w:val="center"/>
              <w:rPr>
                <w:b/>
                <w:sz w:val="21"/>
                <w:szCs w:val="21"/>
              </w:rPr>
            </w:pPr>
            <w:r>
              <w:rPr>
                <w:b/>
                <w:sz w:val="21"/>
                <w:szCs w:val="21"/>
              </w:rPr>
              <w:t>评分因素与权重分值</w:t>
            </w:r>
          </w:p>
        </w:tc>
        <w:tc>
          <w:tcPr>
            <w:tcW w:w="4718" w:type="dxa"/>
            <w:vMerge w:val="restart"/>
            <w:tcBorders>
              <w:top w:val="single" w:color="auto" w:sz="4" w:space="0"/>
            </w:tcBorders>
            <w:noWrap w:val="0"/>
            <w:vAlign w:val="center"/>
          </w:tcPr>
          <w:p>
            <w:pPr>
              <w:spacing w:line="360" w:lineRule="exact"/>
              <w:jc w:val="center"/>
              <w:rPr>
                <w:b/>
                <w:sz w:val="21"/>
                <w:szCs w:val="21"/>
              </w:rPr>
            </w:pPr>
            <w:r>
              <w:rPr>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blHeader/>
          <w:jc w:val="center"/>
        </w:trPr>
        <w:tc>
          <w:tcPr>
            <w:tcW w:w="1207" w:type="dxa"/>
            <w:vMerge w:val="continue"/>
            <w:noWrap w:val="0"/>
            <w:vAlign w:val="center"/>
          </w:tcPr>
          <w:p>
            <w:pPr>
              <w:spacing w:line="360" w:lineRule="exact"/>
              <w:jc w:val="center"/>
              <w:rPr>
                <w:b/>
                <w:sz w:val="21"/>
                <w:szCs w:val="21"/>
              </w:rPr>
            </w:pPr>
          </w:p>
        </w:tc>
        <w:tc>
          <w:tcPr>
            <w:tcW w:w="877" w:type="dxa"/>
            <w:gridSpan w:val="2"/>
            <w:noWrap w:val="0"/>
            <w:vAlign w:val="center"/>
          </w:tcPr>
          <w:p>
            <w:pPr>
              <w:spacing w:line="360" w:lineRule="exact"/>
              <w:jc w:val="center"/>
              <w:rPr>
                <w:b/>
                <w:sz w:val="21"/>
                <w:szCs w:val="21"/>
              </w:rPr>
            </w:pPr>
            <w:r>
              <w:rPr>
                <w:b/>
                <w:sz w:val="21"/>
                <w:szCs w:val="21"/>
              </w:rPr>
              <w:t>评分因素</w:t>
            </w:r>
          </w:p>
        </w:tc>
        <w:tc>
          <w:tcPr>
            <w:tcW w:w="1021" w:type="dxa"/>
            <w:noWrap w:val="0"/>
            <w:vAlign w:val="center"/>
          </w:tcPr>
          <w:p>
            <w:pPr>
              <w:spacing w:line="360" w:lineRule="exact"/>
              <w:ind w:left="-100" w:leftChars="-50" w:right="-100" w:rightChars="-50"/>
              <w:jc w:val="center"/>
              <w:rPr>
                <w:b/>
                <w:sz w:val="21"/>
                <w:szCs w:val="21"/>
              </w:rPr>
            </w:pPr>
            <w:r>
              <w:rPr>
                <w:b/>
                <w:sz w:val="21"/>
                <w:szCs w:val="21"/>
              </w:rPr>
              <w:t>评分因素权重分值</w:t>
            </w:r>
          </w:p>
        </w:tc>
        <w:tc>
          <w:tcPr>
            <w:tcW w:w="1319" w:type="dxa"/>
            <w:noWrap w:val="0"/>
            <w:vAlign w:val="center"/>
          </w:tcPr>
          <w:p>
            <w:pPr>
              <w:spacing w:line="360" w:lineRule="exact"/>
              <w:jc w:val="center"/>
              <w:rPr>
                <w:b/>
                <w:sz w:val="21"/>
                <w:szCs w:val="21"/>
              </w:rPr>
            </w:pPr>
            <w:r>
              <w:rPr>
                <w:b/>
                <w:sz w:val="21"/>
                <w:szCs w:val="21"/>
              </w:rPr>
              <w:t>各评分因素细分项</w:t>
            </w:r>
          </w:p>
        </w:tc>
        <w:tc>
          <w:tcPr>
            <w:tcW w:w="619" w:type="dxa"/>
            <w:noWrap w:val="0"/>
            <w:vAlign w:val="center"/>
          </w:tcPr>
          <w:p>
            <w:pPr>
              <w:spacing w:line="360" w:lineRule="exact"/>
              <w:ind w:right="241"/>
              <w:jc w:val="right"/>
              <w:rPr>
                <w:b/>
                <w:sz w:val="21"/>
                <w:szCs w:val="21"/>
              </w:rPr>
            </w:pPr>
            <w:r>
              <w:rPr>
                <w:b/>
                <w:sz w:val="21"/>
                <w:szCs w:val="21"/>
              </w:rPr>
              <w:t>分值</w:t>
            </w:r>
          </w:p>
        </w:tc>
        <w:tc>
          <w:tcPr>
            <w:tcW w:w="4718" w:type="dxa"/>
            <w:vMerge w:val="continue"/>
            <w:noWrap w:val="0"/>
            <w:vAlign w:val="top"/>
          </w:tcPr>
          <w:p>
            <w:pPr>
              <w:spacing w:line="360" w:lineRule="exact"/>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1207" w:type="dxa"/>
            <w:vMerge w:val="restart"/>
            <w:noWrap w:val="0"/>
            <w:vAlign w:val="center"/>
          </w:tcPr>
          <w:p>
            <w:pPr>
              <w:spacing w:line="360" w:lineRule="exact"/>
              <w:jc w:val="center"/>
              <w:rPr>
                <w:sz w:val="21"/>
                <w:szCs w:val="21"/>
              </w:rPr>
            </w:pPr>
            <w:r>
              <w:rPr>
                <w:sz w:val="21"/>
                <w:szCs w:val="21"/>
              </w:rPr>
              <w:t>2.2.4（1）</w:t>
            </w:r>
          </w:p>
        </w:tc>
        <w:tc>
          <w:tcPr>
            <w:tcW w:w="877" w:type="dxa"/>
            <w:gridSpan w:val="2"/>
            <w:vMerge w:val="restart"/>
            <w:noWrap w:val="0"/>
            <w:vAlign w:val="center"/>
          </w:tcPr>
          <w:p>
            <w:pPr>
              <w:spacing w:line="360" w:lineRule="exact"/>
              <w:ind w:left="-82" w:leftChars="-41"/>
              <w:jc w:val="center"/>
              <w:rPr>
                <w:sz w:val="21"/>
                <w:szCs w:val="21"/>
              </w:rPr>
            </w:pPr>
            <w:r>
              <w:rPr>
                <w:sz w:val="21"/>
                <w:szCs w:val="21"/>
              </w:rPr>
              <w:t>技术建议书</w:t>
            </w:r>
          </w:p>
        </w:tc>
        <w:tc>
          <w:tcPr>
            <w:tcW w:w="1021" w:type="dxa"/>
            <w:vMerge w:val="restart"/>
            <w:noWrap w:val="0"/>
            <w:vAlign w:val="center"/>
          </w:tcPr>
          <w:p>
            <w:pPr>
              <w:spacing w:line="360" w:lineRule="exact"/>
              <w:ind w:right="240"/>
              <w:jc w:val="right"/>
              <w:rPr>
                <w:sz w:val="21"/>
                <w:szCs w:val="21"/>
                <w:u w:val="single"/>
              </w:rPr>
            </w:pPr>
            <w:r>
              <w:rPr>
                <w:rFonts w:hint="eastAsia"/>
                <w:sz w:val="21"/>
                <w:szCs w:val="21"/>
                <w:u w:val="single"/>
                <w:lang w:val="en-US" w:eastAsia="zh-CN"/>
              </w:rPr>
              <w:t>35</w:t>
            </w:r>
            <w:r>
              <w:rPr>
                <w:sz w:val="21"/>
                <w:szCs w:val="21"/>
              </w:rPr>
              <w:t>分</w:t>
            </w:r>
          </w:p>
        </w:tc>
        <w:tc>
          <w:tcPr>
            <w:tcW w:w="1319" w:type="dxa"/>
            <w:noWrap w:val="0"/>
            <w:vAlign w:val="center"/>
          </w:tcPr>
          <w:p>
            <w:pPr>
              <w:spacing w:line="360" w:lineRule="exact"/>
              <w:jc w:val="center"/>
              <w:rPr>
                <w:sz w:val="21"/>
                <w:szCs w:val="21"/>
              </w:rPr>
            </w:pPr>
            <w:r>
              <w:rPr>
                <w:sz w:val="21"/>
                <w:szCs w:val="21"/>
              </w:rPr>
              <w:t>监理工作范围、现场监理机构设置与人员安排</w:t>
            </w:r>
          </w:p>
        </w:tc>
        <w:tc>
          <w:tcPr>
            <w:tcW w:w="619" w:type="dxa"/>
            <w:noWrap w:val="0"/>
            <w:vAlign w:val="center"/>
          </w:tcPr>
          <w:p>
            <w:pPr>
              <w:spacing w:line="360" w:lineRule="exact"/>
              <w:jc w:val="center"/>
              <w:rPr>
                <w:sz w:val="21"/>
                <w:szCs w:val="21"/>
              </w:rPr>
            </w:pPr>
            <w:r>
              <w:rPr>
                <w:rFonts w:hint="eastAsia"/>
                <w:sz w:val="21"/>
                <w:szCs w:val="21"/>
                <w:u w:val="single"/>
                <w:lang w:val="en-US" w:eastAsia="zh-CN"/>
              </w:rPr>
              <w:t>10</w:t>
            </w:r>
            <w:r>
              <w:rPr>
                <w:sz w:val="21"/>
                <w:szCs w:val="21"/>
              </w:rPr>
              <w:t>分</w:t>
            </w:r>
          </w:p>
        </w:tc>
        <w:tc>
          <w:tcPr>
            <w:tcW w:w="4718" w:type="dxa"/>
            <w:noWrap w:val="0"/>
            <w:vAlign w:val="center"/>
          </w:tcPr>
          <w:p>
            <w:pPr>
              <w:spacing w:line="360" w:lineRule="exact"/>
              <w:rPr>
                <w:sz w:val="21"/>
                <w:szCs w:val="21"/>
              </w:rPr>
            </w:pPr>
            <w:r>
              <w:rPr>
                <w:sz w:val="21"/>
                <w:szCs w:val="21"/>
              </w:rPr>
              <w:t>①提出监理工作范围、现场监理机构设置与人员安排的得</w:t>
            </w:r>
            <w:r>
              <w:rPr>
                <w:rFonts w:hint="eastAsia"/>
                <w:sz w:val="21"/>
                <w:szCs w:val="21"/>
                <w:lang w:val="en-US" w:eastAsia="zh-CN"/>
              </w:rPr>
              <w:t>6</w:t>
            </w:r>
            <w:r>
              <w:rPr>
                <w:sz w:val="21"/>
                <w:szCs w:val="21"/>
              </w:rPr>
              <w:t>分；</w:t>
            </w:r>
          </w:p>
          <w:p>
            <w:pPr>
              <w:spacing w:line="360" w:lineRule="exact"/>
              <w:rPr>
                <w:sz w:val="21"/>
                <w:szCs w:val="21"/>
              </w:rPr>
            </w:pPr>
            <w:r>
              <w:rPr>
                <w:sz w:val="21"/>
                <w:szCs w:val="21"/>
              </w:rPr>
              <w:t>②监理工作范围描述基本准确，机构设置合理，岗位职责较清晰的得</w:t>
            </w:r>
            <w:r>
              <w:rPr>
                <w:rFonts w:hint="eastAsia"/>
                <w:sz w:val="21"/>
                <w:szCs w:val="21"/>
                <w:lang w:val="en-US" w:eastAsia="zh-CN"/>
              </w:rPr>
              <w:t>6</w:t>
            </w:r>
            <w:r>
              <w:rPr>
                <w:sz w:val="21"/>
                <w:szCs w:val="21"/>
              </w:rPr>
              <w:t>～</w:t>
            </w:r>
            <w:r>
              <w:rPr>
                <w:rFonts w:hint="eastAsia"/>
                <w:sz w:val="21"/>
                <w:szCs w:val="21"/>
                <w:lang w:val="en-US" w:eastAsia="zh-CN"/>
              </w:rPr>
              <w:t>8</w:t>
            </w:r>
            <w:r>
              <w:rPr>
                <w:sz w:val="21"/>
                <w:szCs w:val="21"/>
              </w:rPr>
              <w:t>分；</w:t>
            </w:r>
          </w:p>
          <w:p>
            <w:pPr>
              <w:spacing w:line="360" w:lineRule="exact"/>
              <w:rPr>
                <w:sz w:val="21"/>
                <w:szCs w:val="21"/>
              </w:rPr>
            </w:pPr>
            <w:r>
              <w:rPr>
                <w:sz w:val="21"/>
                <w:szCs w:val="21"/>
              </w:rPr>
              <w:t>③监理工作范围描述准确、全面，机构设置合理，岗位职责明确的得</w:t>
            </w:r>
            <w:r>
              <w:rPr>
                <w:rFonts w:hint="eastAsia"/>
                <w:sz w:val="21"/>
                <w:szCs w:val="21"/>
                <w:lang w:val="en-US" w:eastAsia="zh-CN"/>
              </w:rPr>
              <w:t>8</w:t>
            </w:r>
            <w:r>
              <w:rPr>
                <w:sz w:val="21"/>
                <w:szCs w:val="21"/>
              </w:rPr>
              <w:t>～</w:t>
            </w:r>
            <w:r>
              <w:rPr>
                <w:rFonts w:hint="eastAsia"/>
                <w:sz w:val="21"/>
                <w:szCs w:val="21"/>
                <w:lang w:val="en-US" w:eastAsia="zh-CN"/>
              </w:rPr>
              <w:t>10</w:t>
            </w:r>
            <w:r>
              <w:rPr>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1207" w:type="dxa"/>
            <w:vMerge w:val="continue"/>
            <w:noWrap w:val="0"/>
            <w:vAlign w:val="center"/>
          </w:tcPr>
          <w:p>
            <w:pPr>
              <w:spacing w:line="360" w:lineRule="exact"/>
              <w:jc w:val="center"/>
              <w:rPr>
                <w:sz w:val="21"/>
                <w:szCs w:val="21"/>
              </w:rPr>
            </w:pPr>
          </w:p>
        </w:tc>
        <w:tc>
          <w:tcPr>
            <w:tcW w:w="877" w:type="dxa"/>
            <w:gridSpan w:val="2"/>
            <w:vMerge w:val="continue"/>
            <w:noWrap w:val="0"/>
            <w:vAlign w:val="center"/>
          </w:tcPr>
          <w:p>
            <w:pPr>
              <w:spacing w:line="360" w:lineRule="exact"/>
              <w:ind w:left="-82" w:leftChars="-41"/>
              <w:jc w:val="center"/>
              <w:rPr>
                <w:sz w:val="21"/>
                <w:szCs w:val="21"/>
              </w:rPr>
            </w:pPr>
          </w:p>
        </w:tc>
        <w:tc>
          <w:tcPr>
            <w:tcW w:w="1021" w:type="dxa"/>
            <w:vMerge w:val="continue"/>
            <w:noWrap w:val="0"/>
            <w:vAlign w:val="center"/>
          </w:tcPr>
          <w:p>
            <w:pPr>
              <w:spacing w:line="360" w:lineRule="exact"/>
              <w:ind w:right="240"/>
              <w:jc w:val="right"/>
              <w:rPr>
                <w:sz w:val="21"/>
                <w:szCs w:val="21"/>
                <w:u w:val="single"/>
              </w:rPr>
            </w:pPr>
          </w:p>
        </w:tc>
        <w:tc>
          <w:tcPr>
            <w:tcW w:w="1319" w:type="dxa"/>
            <w:noWrap w:val="0"/>
            <w:vAlign w:val="center"/>
          </w:tcPr>
          <w:p>
            <w:pPr>
              <w:spacing w:line="360" w:lineRule="exact"/>
              <w:jc w:val="center"/>
              <w:rPr>
                <w:sz w:val="21"/>
                <w:szCs w:val="21"/>
              </w:rPr>
            </w:pPr>
            <w:r>
              <w:rPr>
                <w:sz w:val="21"/>
                <w:szCs w:val="21"/>
              </w:rPr>
              <w:t>监理大纲（或监理方案）和措施</w:t>
            </w:r>
          </w:p>
        </w:tc>
        <w:tc>
          <w:tcPr>
            <w:tcW w:w="619" w:type="dxa"/>
            <w:noWrap w:val="0"/>
            <w:vAlign w:val="center"/>
          </w:tcPr>
          <w:p>
            <w:pPr>
              <w:spacing w:line="360" w:lineRule="exact"/>
              <w:jc w:val="center"/>
              <w:rPr>
                <w:sz w:val="21"/>
                <w:szCs w:val="21"/>
              </w:rPr>
            </w:pPr>
            <w:r>
              <w:rPr>
                <w:sz w:val="21"/>
                <w:szCs w:val="21"/>
                <w:u w:val="single"/>
              </w:rPr>
              <w:t>10</w:t>
            </w:r>
            <w:r>
              <w:rPr>
                <w:sz w:val="21"/>
                <w:szCs w:val="21"/>
              </w:rPr>
              <w:t>分</w:t>
            </w:r>
          </w:p>
        </w:tc>
        <w:tc>
          <w:tcPr>
            <w:tcW w:w="4718" w:type="dxa"/>
            <w:noWrap w:val="0"/>
            <w:vAlign w:val="center"/>
          </w:tcPr>
          <w:p>
            <w:pPr>
              <w:spacing w:line="360" w:lineRule="exact"/>
              <w:rPr>
                <w:sz w:val="21"/>
                <w:szCs w:val="21"/>
              </w:rPr>
            </w:pPr>
            <w:r>
              <w:rPr>
                <w:sz w:val="21"/>
                <w:szCs w:val="21"/>
              </w:rPr>
              <w:t>①监理大纲（或监理方案）和质量安全等措施合格的，得6分；</w:t>
            </w:r>
          </w:p>
          <w:p>
            <w:pPr>
              <w:spacing w:line="360" w:lineRule="exact"/>
              <w:rPr>
                <w:sz w:val="21"/>
                <w:szCs w:val="21"/>
              </w:rPr>
            </w:pPr>
            <w:r>
              <w:rPr>
                <w:sz w:val="21"/>
                <w:szCs w:val="21"/>
              </w:rPr>
              <w:t>②监理大纲（或监理方案）和质量安全等措施较可行，具有较强针对性，能满足现场施工监理要求，得6～8分；</w:t>
            </w:r>
          </w:p>
          <w:p>
            <w:pPr>
              <w:spacing w:line="360" w:lineRule="exact"/>
              <w:rPr>
                <w:sz w:val="21"/>
                <w:szCs w:val="21"/>
              </w:rPr>
            </w:pPr>
            <w:r>
              <w:rPr>
                <w:sz w:val="21"/>
                <w:szCs w:val="21"/>
              </w:rPr>
              <w:t>③监理大纲（或监理方案）和质量安全等措施科学合理，针对性强，保障有力，得8～10分。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207" w:type="dxa"/>
            <w:vMerge w:val="continue"/>
            <w:noWrap w:val="0"/>
            <w:vAlign w:val="center"/>
          </w:tcPr>
          <w:p>
            <w:pPr>
              <w:spacing w:line="360" w:lineRule="exact"/>
              <w:jc w:val="center"/>
              <w:rPr>
                <w:sz w:val="21"/>
                <w:szCs w:val="21"/>
              </w:rPr>
            </w:pPr>
          </w:p>
        </w:tc>
        <w:tc>
          <w:tcPr>
            <w:tcW w:w="877" w:type="dxa"/>
            <w:gridSpan w:val="2"/>
            <w:vMerge w:val="continue"/>
            <w:noWrap w:val="0"/>
            <w:vAlign w:val="center"/>
          </w:tcPr>
          <w:p>
            <w:pPr>
              <w:spacing w:line="360" w:lineRule="exact"/>
              <w:jc w:val="center"/>
              <w:rPr>
                <w:sz w:val="21"/>
                <w:szCs w:val="21"/>
              </w:rPr>
            </w:pPr>
          </w:p>
        </w:tc>
        <w:tc>
          <w:tcPr>
            <w:tcW w:w="1021" w:type="dxa"/>
            <w:vMerge w:val="continue"/>
            <w:noWrap w:val="0"/>
            <w:vAlign w:val="center"/>
          </w:tcPr>
          <w:p>
            <w:pPr>
              <w:spacing w:line="360" w:lineRule="exact"/>
              <w:jc w:val="right"/>
              <w:rPr>
                <w:sz w:val="21"/>
                <w:szCs w:val="21"/>
                <w:u w:val="single"/>
              </w:rPr>
            </w:pPr>
          </w:p>
        </w:tc>
        <w:tc>
          <w:tcPr>
            <w:tcW w:w="1319" w:type="dxa"/>
            <w:noWrap w:val="0"/>
            <w:vAlign w:val="center"/>
          </w:tcPr>
          <w:p>
            <w:pPr>
              <w:spacing w:line="360" w:lineRule="exact"/>
              <w:jc w:val="center"/>
              <w:rPr>
                <w:sz w:val="21"/>
                <w:szCs w:val="21"/>
              </w:rPr>
            </w:pPr>
            <w:r>
              <w:rPr>
                <w:sz w:val="21"/>
                <w:szCs w:val="21"/>
              </w:rPr>
              <w:t>本工程监理工作的重点与难点分析</w:t>
            </w:r>
          </w:p>
        </w:tc>
        <w:tc>
          <w:tcPr>
            <w:tcW w:w="619" w:type="dxa"/>
            <w:noWrap w:val="0"/>
            <w:vAlign w:val="center"/>
          </w:tcPr>
          <w:p>
            <w:pPr>
              <w:spacing w:line="360" w:lineRule="exact"/>
              <w:jc w:val="center"/>
              <w:rPr>
                <w:sz w:val="21"/>
                <w:szCs w:val="21"/>
              </w:rPr>
            </w:pPr>
            <w:r>
              <w:rPr>
                <w:sz w:val="21"/>
                <w:szCs w:val="21"/>
                <w:u w:val="single"/>
              </w:rPr>
              <w:t>10</w:t>
            </w:r>
            <w:r>
              <w:rPr>
                <w:sz w:val="21"/>
                <w:szCs w:val="21"/>
              </w:rPr>
              <w:t>分</w:t>
            </w:r>
          </w:p>
        </w:tc>
        <w:tc>
          <w:tcPr>
            <w:tcW w:w="4718" w:type="dxa"/>
            <w:noWrap w:val="0"/>
            <w:vAlign w:val="center"/>
          </w:tcPr>
          <w:p>
            <w:pPr>
              <w:spacing w:line="360" w:lineRule="exact"/>
              <w:rPr>
                <w:sz w:val="21"/>
                <w:szCs w:val="21"/>
              </w:rPr>
            </w:pPr>
            <w:r>
              <w:rPr>
                <w:sz w:val="21"/>
                <w:szCs w:val="21"/>
              </w:rPr>
              <w:t>①对本项目重点、难点分析合理的，得6分；</w:t>
            </w:r>
          </w:p>
          <w:p>
            <w:pPr>
              <w:spacing w:line="360" w:lineRule="exact"/>
              <w:rPr>
                <w:sz w:val="21"/>
                <w:szCs w:val="21"/>
              </w:rPr>
            </w:pPr>
            <w:r>
              <w:rPr>
                <w:sz w:val="21"/>
                <w:szCs w:val="21"/>
              </w:rPr>
              <w:t>②对本项目重点、难点分析较全面，得6～8分；</w:t>
            </w:r>
          </w:p>
          <w:p>
            <w:pPr>
              <w:spacing w:line="360" w:lineRule="exact"/>
              <w:rPr>
                <w:sz w:val="21"/>
                <w:szCs w:val="21"/>
              </w:rPr>
            </w:pPr>
            <w:r>
              <w:rPr>
                <w:spacing w:val="-11"/>
                <w:sz w:val="21"/>
                <w:szCs w:val="21"/>
              </w:rPr>
              <w:t>③对本项目重点、难点分析全面透彻，把握准确，具有较强针对性，得8～10分。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207" w:type="dxa"/>
            <w:vMerge w:val="continue"/>
            <w:noWrap w:val="0"/>
            <w:vAlign w:val="center"/>
          </w:tcPr>
          <w:p>
            <w:pPr>
              <w:spacing w:line="360" w:lineRule="exact"/>
              <w:jc w:val="center"/>
              <w:rPr>
                <w:sz w:val="21"/>
                <w:szCs w:val="21"/>
              </w:rPr>
            </w:pPr>
          </w:p>
        </w:tc>
        <w:tc>
          <w:tcPr>
            <w:tcW w:w="877" w:type="dxa"/>
            <w:gridSpan w:val="2"/>
            <w:vMerge w:val="continue"/>
            <w:noWrap w:val="0"/>
            <w:vAlign w:val="center"/>
          </w:tcPr>
          <w:p>
            <w:pPr>
              <w:spacing w:line="360" w:lineRule="exact"/>
              <w:jc w:val="center"/>
              <w:rPr>
                <w:sz w:val="21"/>
                <w:szCs w:val="21"/>
              </w:rPr>
            </w:pPr>
          </w:p>
        </w:tc>
        <w:tc>
          <w:tcPr>
            <w:tcW w:w="1021" w:type="dxa"/>
            <w:vMerge w:val="continue"/>
            <w:noWrap w:val="0"/>
            <w:vAlign w:val="center"/>
          </w:tcPr>
          <w:p>
            <w:pPr>
              <w:spacing w:line="360" w:lineRule="exact"/>
              <w:jc w:val="right"/>
              <w:rPr>
                <w:sz w:val="21"/>
                <w:szCs w:val="21"/>
                <w:u w:val="single"/>
              </w:rPr>
            </w:pPr>
          </w:p>
        </w:tc>
        <w:tc>
          <w:tcPr>
            <w:tcW w:w="1319" w:type="dxa"/>
            <w:noWrap w:val="0"/>
            <w:vAlign w:val="center"/>
          </w:tcPr>
          <w:p>
            <w:pPr>
              <w:spacing w:line="360" w:lineRule="exact"/>
              <w:jc w:val="center"/>
              <w:rPr>
                <w:sz w:val="21"/>
                <w:szCs w:val="21"/>
              </w:rPr>
            </w:pPr>
            <w:r>
              <w:rPr>
                <w:sz w:val="21"/>
                <w:szCs w:val="21"/>
              </w:rPr>
              <w:t>对本工程的建议</w:t>
            </w:r>
          </w:p>
        </w:tc>
        <w:tc>
          <w:tcPr>
            <w:tcW w:w="619" w:type="dxa"/>
            <w:noWrap w:val="0"/>
            <w:vAlign w:val="center"/>
          </w:tcPr>
          <w:p>
            <w:pPr>
              <w:spacing w:line="360" w:lineRule="exact"/>
              <w:jc w:val="center"/>
              <w:rPr>
                <w:sz w:val="21"/>
                <w:szCs w:val="21"/>
              </w:rPr>
            </w:pPr>
            <w:r>
              <w:rPr>
                <w:rFonts w:hint="eastAsia"/>
                <w:sz w:val="21"/>
                <w:szCs w:val="21"/>
                <w:u w:val="single"/>
                <w:lang w:val="en-US" w:eastAsia="zh-CN"/>
              </w:rPr>
              <w:t>5</w:t>
            </w:r>
            <w:r>
              <w:rPr>
                <w:sz w:val="21"/>
                <w:szCs w:val="21"/>
              </w:rPr>
              <w:t>分</w:t>
            </w:r>
          </w:p>
        </w:tc>
        <w:tc>
          <w:tcPr>
            <w:tcW w:w="4718" w:type="dxa"/>
            <w:noWrap w:val="0"/>
            <w:vAlign w:val="center"/>
          </w:tcPr>
          <w:p>
            <w:pPr>
              <w:spacing w:line="360" w:lineRule="exact"/>
              <w:rPr>
                <w:sz w:val="21"/>
                <w:szCs w:val="21"/>
              </w:rPr>
            </w:pPr>
            <w:r>
              <w:rPr>
                <w:sz w:val="21"/>
                <w:szCs w:val="21"/>
              </w:rPr>
              <w:t>①对本项目的建议合理的，得</w:t>
            </w:r>
            <w:r>
              <w:rPr>
                <w:rFonts w:hint="eastAsia"/>
                <w:sz w:val="21"/>
                <w:szCs w:val="21"/>
                <w:lang w:val="en-US" w:eastAsia="zh-CN"/>
              </w:rPr>
              <w:t>3</w:t>
            </w:r>
            <w:r>
              <w:rPr>
                <w:sz w:val="21"/>
                <w:szCs w:val="21"/>
              </w:rPr>
              <w:t>分；</w:t>
            </w:r>
          </w:p>
          <w:p>
            <w:pPr>
              <w:spacing w:line="360" w:lineRule="exact"/>
              <w:rPr>
                <w:sz w:val="21"/>
                <w:szCs w:val="21"/>
              </w:rPr>
            </w:pPr>
            <w:r>
              <w:rPr>
                <w:sz w:val="21"/>
                <w:szCs w:val="21"/>
              </w:rPr>
              <w:t>②对本项目提出了相关建议，且建议较可行，得</w:t>
            </w:r>
            <w:r>
              <w:rPr>
                <w:rFonts w:hint="eastAsia"/>
                <w:sz w:val="21"/>
                <w:szCs w:val="21"/>
                <w:lang w:val="en-US" w:eastAsia="zh-CN"/>
              </w:rPr>
              <w:t>3</w:t>
            </w:r>
            <w:r>
              <w:rPr>
                <w:sz w:val="21"/>
                <w:szCs w:val="21"/>
              </w:rPr>
              <w:t>～</w:t>
            </w:r>
            <w:r>
              <w:rPr>
                <w:rFonts w:hint="eastAsia"/>
                <w:sz w:val="21"/>
                <w:szCs w:val="21"/>
                <w:lang w:val="en-US" w:eastAsia="zh-CN"/>
              </w:rPr>
              <w:t>4</w:t>
            </w:r>
            <w:r>
              <w:rPr>
                <w:sz w:val="21"/>
                <w:szCs w:val="21"/>
              </w:rPr>
              <w:t>分；</w:t>
            </w:r>
          </w:p>
          <w:p>
            <w:pPr>
              <w:spacing w:line="360" w:lineRule="exact"/>
              <w:rPr>
                <w:sz w:val="21"/>
                <w:szCs w:val="21"/>
              </w:rPr>
            </w:pPr>
            <w:r>
              <w:rPr>
                <w:sz w:val="21"/>
                <w:szCs w:val="21"/>
              </w:rPr>
              <w:t>③对本项目的建议分析全面，可操作性强，得</w:t>
            </w:r>
            <w:r>
              <w:rPr>
                <w:rFonts w:hint="eastAsia"/>
                <w:sz w:val="21"/>
                <w:szCs w:val="21"/>
                <w:lang w:val="en-US" w:eastAsia="zh-CN"/>
              </w:rPr>
              <w:t>4</w:t>
            </w:r>
            <w:r>
              <w:rPr>
                <w:sz w:val="21"/>
                <w:szCs w:val="21"/>
              </w:rPr>
              <w:t>～</w:t>
            </w:r>
            <w:r>
              <w:rPr>
                <w:rFonts w:hint="eastAsia"/>
                <w:sz w:val="21"/>
                <w:szCs w:val="21"/>
                <w:lang w:val="en-US" w:eastAsia="zh-CN"/>
              </w:rPr>
              <w:t>5</w:t>
            </w:r>
            <w:r>
              <w:rPr>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7" w:type="dxa"/>
            <w:noWrap w:val="0"/>
            <w:vAlign w:val="center"/>
          </w:tcPr>
          <w:p>
            <w:pPr>
              <w:spacing w:line="360" w:lineRule="exact"/>
              <w:ind w:left="-88" w:leftChars="-44" w:right="-84" w:rightChars="-42"/>
              <w:jc w:val="center"/>
              <w:rPr>
                <w:sz w:val="21"/>
                <w:szCs w:val="21"/>
              </w:rPr>
            </w:pPr>
            <w:r>
              <w:rPr>
                <w:sz w:val="21"/>
                <w:szCs w:val="21"/>
              </w:rPr>
              <w:t>2.2.4（2）</w:t>
            </w:r>
          </w:p>
        </w:tc>
        <w:tc>
          <w:tcPr>
            <w:tcW w:w="877" w:type="dxa"/>
            <w:gridSpan w:val="2"/>
            <w:noWrap w:val="0"/>
            <w:vAlign w:val="center"/>
          </w:tcPr>
          <w:p>
            <w:pPr>
              <w:spacing w:line="360" w:lineRule="exact"/>
              <w:ind w:left="-82" w:leftChars="-41"/>
              <w:jc w:val="center"/>
              <w:rPr>
                <w:sz w:val="21"/>
                <w:szCs w:val="21"/>
              </w:rPr>
            </w:pPr>
            <w:r>
              <w:rPr>
                <w:sz w:val="21"/>
                <w:szCs w:val="21"/>
              </w:rPr>
              <w:t>主要</w:t>
            </w:r>
          </w:p>
          <w:p>
            <w:pPr>
              <w:spacing w:line="360" w:lineRule="exact"/>
              <w:ind w:left="-82" w:leftChars="-41"/>
              <w:jc w:val="center"/>
              <w:rPr>
                <w:sz w:val="21"/>
                <w:szCs w:val="21"/>
              </w:rPr>
            </w:pPr>
            <w:r>
              <w:rPr>
                <w:sz w:val="21"/>
                <w:szCs w:val="21"/>
              </w:rPr>
              <w:t>人员</w:t>
            </w:r>
          </w:p>
        </w:tc>
        <w:tc>
          <w:tcPr>
            <w:tcW w:w="1021" w:type="dxa"/>
            <w:noWrap w:val="0"/>
            <w:vAlign w:val="center"/>
          </w:tcPr>
          <w:p>
            <w:pPr>
              <w:spacing w:line="360" w:lineRule="exact"/>
              <w:jc w:val="center"/>
              <w:rPr>
                <w:sz w:val="21"/>
                <w:szCs w:val="21"/>
                <w:highlight w:val="none"/>
              </w:rPr>
            </w:pPr>
            <w:r>
              <w:rPr>
                <w:rFonts w:hint="eastAsia"/>
                <w:sz w:val="21"/>
                <w:szCs w:val="21"/>
                <w:highlight w:val="none"/>
                <w:u w:val="single"/>
                <w:lang w:val="en-US" w:eastAsia="zh-CN"/>
              </w:rPr>
              <w:t>30</w:t>
            </w:r>
            <w:r>
              <w:rPr>
                <w:sz w:val="21"/>
                <w:szCs w:val="21"/>
                <w:highlight w:val="none"/>
              </w:rPr>
              <w:t>分</w:t>
            </w:r>
          </w:p>
        </w:tc>
        <w:tc>
          <w:tcPr>
            <w:tcW w:w="1319" w:type="dxa"/>
            <w:noWrap w:val="0"/>
            <w:vAlign w:val="center"/>
          </w:tcPr>
          <w:p>
            <w:pPr>
              <w:spacing w:line="360" w:lineRule="exact"/>
              <w:jc w:val="center"/>
              <w:rPr>
                <w:sz w:val="21"/>
                <w:szCs w:val="21"/>
                <w:highlight w:val="none"/>
              </w:rPr>
            </w:pPr>
            <w:r>
              <w:rPr>
                <w:sz w:val="21"/>
                <w:szCs w:val="21"/>
                <w:highlight w:val="none"/>
              </w:rPr>
              <w:t>主要</w:t>
            </w:r>
          </w:p>
          <w:p>
            <w:pPr>
              <w:spacing w:line="360" w:lineRule="exact"/>
              <w:jc w:val="center"/>
              <w:rPr>
                <w:sz w:val="21"/>
                <w:szCs w:val="21"/>
                <w:highlight w:val="none"/>
              </w:rPr>
            </w:pPr>
            <w:r>
              <w:rPr>
                <w:sz w:val="21"/>
                <w:szCs w:val="21"/>
                <w:highlight w:val="none"/>
              </w:rPr>
              <w:t>人员</w:t>
            </w:r>
          </w:p>
        </w:tc>
        <w:tc>
          <w:tcPr>
            <w:tcW w:w="619" w:type="dxa"/>
            <w:noWrap w:val="0"/>
            <w:vAlign w:val="center"/>
          </w:tcPr>
          <w:p>
            <w:pPr>
              <w:spacing w:line="360" w:lineRule="exact"/>
              <w:jc w:val="center"/>
              <w:rPr>
                <w:sz w:val="21"/>
                <w:szCs w:val="21"/>
                <w:highlight w:val="none"/>
              </w:rPr>
            </w:pPr>
            <w:r>
              <w:rPr>
                <w:rFonts w:hint="eastAsia"/>
                <w:sz w:val="21"/>
                <w:szCs w:val="21"/>
                <w:highlight w:val="none"/>
                <w:u w:val="single"/>
                <w:lang w:val="en-US" w:eastAsia="zh-CN"/>
              </w:rPr>
              <w:t>30</w:t>
            </w:r>
            <w:r>
              <w:rPr>
                <w:sz w:val="21"/>
                <w:szCs w:val="21"/>
                <w:highlight w:val="none"/>
              </w:rPr>
              <w:t>分</w:t>
            </w:r>
          </w:p>
        </w:tc>
        <w:tc>
          <w:tcPr>
            <w:tcW w:w="4718" w:type="dxa"/>
            <w:noWrap w:val="0"/>
            <w:vAlign w:val="center"/>
          </w:tcPr>
          <w:p>
            <w:pPr>
              <w:spacing w:line="360" w:lineRule="exact"/>
              <w:rPr>
                <w:rFonts w:hint="eastAsia" w:ascii="宋体" w:hAnsi="Times New Roman" w:eastAsia="宋体" w:cs="宋体"/>
                <w:color w:val="auto"/>
                <w:sz w:val="21"/>
                <w:szCs w:val="21"/>
                <w:lang w:val="en-US" w:eastAsia="zh-CN" w:bidi="ar-SA"/>
              </w:rPr>
            </w:pPr>
            <w:r>
              <w:rPr>
                <w:rFonts w:hint="eastAsia" w:ascii="宋体" w:hAnsi="Times New Roman" w:eastAsia="宋体" w:cs="宋体"/>
                <w:color w:val="auto"/>
                <w:sz w:val="21"/>
                <w:szCs w:val="21"/>
                <w:lang w:val="en-US" w:eastAsia="zh-CN" w:bidi="ar-SA"/>
              </w:rPr>
              <w:t>①满足资格审查要求的，得24分；</w:t>
            </w:r>
          </w:p>
          <w:p>
            <w:pPr>
              <w:spacing w:line="360" w:lineRule="exact"/>
              <w:rPr>
                <w:rFonts w:hint="eastAsia" w:ascii="宋体" w:hAnsi="Times New Roman" w:eastAsia="宋体" w:cs="宋体"/>
                <w:color w:val="auto"/>
                <w:sz w:val="21"/>
                <w:szCs w:val="21"/>
                <w:lang w:val="en-US" w:eastAsia="zh-CN" w:bidi="ar-SA"/>
              </w:rPr>
            </w:pPr>
            <w:r>
              <w:rPr>
                <w:rFonts w:hint="eastAsia" w:ascii="宋体" w:hAnsi="Times New Roman" w:eastAsia="宋体" w:cs="宋体"/>
                <w:color w:val="auto"/>
                <w:sz w:val="21"/>
                <w:szCs w:val="21"/>
                <w:lang w:val="en-US" w:eastAsia="zh-CN" w:bidi="ar-SA"/>
              </w:rPr>
              <w:t>②总监理工程师具有相关专业高级及以上职称的得2分。</w:t>
            </w:r>
          </w:p>
          <w:p>
            <w:pPr>
              <w:spacing w:line="360" w:lineRule="exact"/>
              <w:rPr>
                <w:rFonts w:hint="eastAsia" w:ascii="宋体" w:hAnsi="Times New Roman" w:eastAsia="宋体" w:cs="宋体"/>
                <w:color w:val="auto"/>
                <w:sz w:val="21"/>
                <w:szCs w:val="21"/>
                <w:lang w:val="en-US" w:eastAsia="zh-CN" w:bidi="ar-SA"/>
              </w:rPr>
            </w:pPr>
            <w:r>
              <w:rPr>
                <w:rFonts w:hint="eastAsia"/>
                <w:b/>
                <w:bCs/>
                <w:sz w:val="21"/>
                <w:szCs w:val="21"/>
                <w:lang w:val="en-US"/>
              </w:rPr>
              <w:t>评审依据：网上上传有效的证书原件扫描件</w:t>
            </w:r>
            <w:r>
              <w:rPr>
                <w:rFonts w:hint="eastAsia"/>
                <w:b/>
                <w:bCs/>
                <w:sz w:val="21"/>
                <w:szCs w:val="21"/>
              </w:rPr>
              <w:t>，</w:t>
            </w:r>
            <w:r>
              <w:rPr>
                <w:rFonts w:hint="eastAsia"/>
                <w:b/>
                <w:bCs/>
                <w:sz w:val="21"/>
                <w:szCs w:val="21"/>
                <w:lang w:val="en-US"/>
              </w:rPr>
              <w:t>否则不计分。</w:t>
            </w:r>
          </w:p>
          <w:p>
            <w:pPr>
              <w:pStyle w:val="11"/>
              <w:spacing w:line="500" w:lineRule="exact"/>
              <w:rPr>
                <w:rFonts w:hint="eastAsia"/>
                <w:szCs w:val="21"/>
              </w:rPr>
            </w:pPr>
            <w:r>
              <w:rPr>
                <w:sz w:val="21"/>
                <w:szCs w:val="21"/>
              </w:rPr>
              <w:t>③</w:t>
            </w:r>
            <w:r>
              <w:rPr>
                <w:rFonts w:hint="eastAsia" w:ascii="宋体" w:hAnsi="Times New Roman" w:eastAsia="宋体" w:cs="宋体"/>
                <w:color w:val="auto"/>
                <w:sz w:val="21"/>
                <w:szCs w:val="21"/>
                <w:lang w:val="en-US" w:eastAsia="zh-CN" w:bidi="ar-SA"/>
              </w:rPr>
              <w:t>总监理工程师每增加一个担任不少于157米及以上的大桥新建或改扩建工程项目总监、副总监（或驻地、副驻地监理工程师）业绩加2分，最多加4分。</w:t>
            </w:r>
            <w:r>
              <w:rPr>
                <w:rFonts w:hint="eastAsia"/>
                <w:b/>
                <w:bCs/>
                <w:szCs w:val="21"/>
                <w:lang w:val="en-US"/>
              </w:rPr>
              <w:t>评审依据：</w:t>
            </w:r>
            <w:r>
              <w:rPr>
                <w:rFonts w:hint="eastAsia"/>
                <w:bCs/>
                <w:szCs w:val="21"/>
                <w:lang w:val="en-US"/>
              </w:rPr>
              <w:t>业绩应上传在交通运输部“全国公路建设市场信用信息管理系统”（网址：http：//glxy.mot.gov.cn/BM/）中查询到的个人“业绩信息”相关项目网页截图彩色扫描件。在交通运输部“全国公路建设市场信用信息管理系统”中无法查询，但可在省级交通运输主管部门“公路建设市场信用信息管理系统”中查询的，应上传省级交通运输主管部门“公路建设市场信用信息管理系统”中查询到的网页截图彩色扫描件并注明查询路径。</w:t>
            </w:r>
            <w:r>
              <w:rPr>
                <w:rFonts w:hint="eastAsia"/>
                <w:sz w:val="22"/>
              </w:rPr>
              <w:t>如投标人未提供相关项目网页截图彩色扫描件或相关项目网页截图中信息无法证实投标人</w:t>
            </w:r>
            <w:r>
              <w:rPr>
                <w:rFonts w:hint="eastAsia"/>
                <w:sz w:val="22"/>
                <w:lang w:val="en-US"/>
              </w:rPr>
              <w:t>满足</w:t>
            </w:r>
            <w:r>
              <w:rPr>
                <w:rFonts w:hint="eastAsia"/>
                <w:sz w:val="22"/>
              </w:rPr>
              <w:t>招标文件规定的资格审查条件和评分因素，则投标人应提供监理项目评定书或业主证明的彩色扫描件，以证明该业绩满足资格审查条件和评分因素，否则该项目业绩不予以认定。</w:t>
            </w:r>
          </w:p>
          <w:p>
            <w:pPr>
              <w:spacing w:line="360" w:lineRule="exact"/>
              <w:rPr>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207" w:type="dxa"/>
            <w:noWrap w:val="0"/>
            <w:vAlign w:val="center"/>
          </w:tcPr>
          <w:p>
            <w:pPr>
              <w:spacing w:line="360" w:lineRule="exact"/>
              <w:jc w:val="center"/>
              <w:rPr>
                <w:sz w:val="21"/>
                <w:szCs w:val="21"/>
              </w:rPr>
            </w:pPr>
            <w:r>
              <w:rPr>
                <w:sz w:val="21"/>
                <w:szCs w:val="21"/>
              </w:rPr>
              <w:t>2.2.4（3）</w:t>
            </w:r>
          </w:p>
        </w:tc>
        <w:tc>
          <w:tcPr>
            <w:tcW w:w="877" w:type="dxa"/>
            <w:gridSpan w:val="2"/>
            <w:noWrap w:val="0"/>
            <w:vAlign w:val="center"/>
          </w:tcPr>
          <w:p>
            <w:pPr>
              <w:spacing w:line="360" w:lineRule="exact"/>
              <w:jc w:val="center"/>
              <w:rPr>
                <w:sz w:val="21"/>
                <w:szCs w:val="21"/>
              </w:rPr>
            </w:pPr>
            <w:r>
              <w:rPr>
                <w:sz w:val="21"/>
                <w:szCs w:val="21"/>
              </w:rPr>
              <w:t>评</w:t>
            </w:r>
          </w:p>
          <w:p>
            <w:pPr>
              <w:spacing w:line="360" w:lineRule="exact"/>
              <w:jc w:val="center"/>
              <w:rPr>
                <w:sz w:val="21"/>
                <w:szCs w:val="21"/>
              </w:rPr>
            </w:pPr>
            <w:r>
              <w:rPr>
                <w:sz w:val="21"/>
                <w:szCs w:val="21"/>
              </w:rPr>
              <w:t>标</w:t>
            </w:r>
          </w:p>
          <w:p>
            <w:pPr>
              <w:spacing w:line="360" w:lineRule="exact"/>
              <w:jc w:val="center"/>
              <w:rPr>
                <w:sz w:val="21"/>
                <w:szCs w:val="21"/>
              </w:rPr>
            </w:pPr>
            <w:r>
              <w:rPr>
                <w:sz w:val="21"/>
                <w:szCs w:val="21"/>
              </w:rPr>
              <w:t>价</w:t>
            </w:r>
          </w:p>
        </w:tc>
        <w:tc>
          <w:tcPr>
            <w:tcW w:w="1021" w:type="dxa"/>
            <w:noWrap w:val="0"/>
            <w:vAlign w:val="center"/>
          </w:tcPr>
          <w:p>
            <w:pPr>
              <w:spacing w:line="360" w:lineRule="exact"/>
              <w:jc w:val="center"/>
              <w:rPr>
                <w:sz w:val="21"/>
                <w:szCs w:val="21"/>
              </w:rPr>
            </w:pPr>
            <w:r>
              <w:rPr>
                <w:sz w:val="21"/>
                <w:szCs w:val="21"/>
              </w:rPr>
              <w:t>10分</w:t>
            </w:r>
          </w:p>
        </w:tc>
        <w:tc>
          <w:tcPr>
            <w:tcW w:w="6656" w:type="dxa"/>
            <w:gridSpan w:val="3"/>
            <w:noWrap w:val="0"/>
            <w:vAlign w:val="top"/>
          </w:tcPr>
          <w:p>
            <w:pPr>
              <w:spacing w:line="360" w:lineRule="exact"/>
              <w:rPr>
                <w:sz w:val="21"/>
                <w:szCs w:val="21"/>
              </w:rPr>
            </w:pPr>
            <w:r>
              <w:rPr>
                <w:sz w:val="21"/>
                <w:szCs w:val="21"/>
              </w:rPr>
              <w:t>评标价得分计算公式示例：</w:t>
            </w:r>
          </w:p>
          <w:p>
            <w:pPr>
              <w:spacing w:line="360" w:lineRule="exact"/>
              <w:rPr>
                <w:sz w:val="21"/>
                <w:szCs w:val="21"/>
              </w:rPr>
            </w:pPr>
            <w:r>
              <w:rPr>
                <w:sz w:val="21"/>
                <w:szCs w:val="21"/>
              </w:rPr>
              <w:t>(1</w:t>
            </w:r>
            <w:r>
              <w:rPr>
                <w:rFonts w:hint="eastAsia"/>
                <w:sz w:val="21"/>
                <w:szCs w:val="21"/>
              </w:rPr>
              <w:t>）</w:t>
            </w:r>
            <w:r>
              <w:rPr>
                <w:sz w:val="21"/>
                <w:szCs w:val="21"/>
              </w:rPr>
              <w:t>如果投标人的评标价&gt;评标基准价，则评标价得分＝F－偏差率×100× E1；</w:t>
            </w:r>
          </w:p>
          <w:p>
            <w:pPr>
              <w:spacing w:line="360" w:lineRule="exact"/>
              <w:rPr>
                <w:sz w:val="21"/>
                <w:szCs w:val="21"/>
              </w:rPr>
            </w:pPr>
            <w:r>
              <w:rPr>
                <w:sz w:val="21"/>
                <w:szCs w:val="21"/>
              </w:rPr>
              <w:t>(2</w:t>
            </w:r>
            <w:r>
              <w:rPr>
                <w:rFonts w:hint="eastAsia"/>
                <w:sz w:val="21"/>
                <w:szCs w:val="21"/>
              </w:rPr>
              <w:t>）</w:t>
            </w:r>
            <w:r>
              <w:rPr>
                <w:sz w:val="21"/>
                <w:szCs w:val="21"/>
              </w:rPr>
              <w:t>如果投标人的评标价≤评标基准价，则评标价得分＝F＋偏差率× 100× E2。</w:t>
            </w:r>
          </w:p>
          <w:p>
            <w:pPr>
              <w:spacing w:line="360" w:lineRule="exact"/>
              <w:rPr>
                <w:sz w:val="21"/>
                <w:szCs w:val="21"/>
              </w:rPr>
            </w:pPr>
            <w:r>
              <w:rPr>
                <w:sz w:val="21"/>
                <w:szCs w:val="21"/>
              </w:rPr>
              <w:t>其中：F是评标价所占的权重分值，E1是评标价每高于评标基准价一个百分点的扣分值，E2是评标价每低于评标基准价一个百分点的扣分值；招标人可依据招标项目具体特点和实际需要设置E1、E2，但E1应大于E2</w:t>
            </w:r>
            <w:r>
              <w:rPr>
                <w:rFonts w:hint="eastAsia"/>
                <w:sz w:val="21"/>
                <w:szCs w:val="21"/>
                <w:lang w:val="en-US" w:eastAsia="zh-CN"/>
              </w:rPr>
              <w:t xml:space="preserve">                      </w:t>
            </w:r>
            <w:r>
              <w:rPr>
                <w:sz w:val="21"/>
                <w:szCs w:val="21"/>
              </w:rPr>
              <w:t>本项目E1=</w:t>
            </w:r>
            <w:r>
              <w:rPr>
                <w:rFonts w:hint="eastAsia"/>
                <w:sz w:val="21"/>
                <w:szCs w:val="21"/>
              </w:rPr>
              <w:t>0.2</w:t>
            </w:r>
            <w:r>
              <w:rPr>
                <w:sz w:val="21"/>
                <w:szCs w:val="21"/>
              </w:rPr>
              <w:t>，E2=</w:t>
            </w:r>
            <w:r>
              <w:rPr>
                <w:rFonts w:hint="eastAsia"/>
                <w:sz w:val="21"/>
                <w:szCs w:val="21"/>
              </w:rPr>
              <w:t>0.1</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7" w:type="dxa"/>
            <w:vMerge w:val="restart"/>
            <w:noWrap w:val="0"/>
            <w:vAlign w:val="center"/>
          </w:tcPr>
          <w:p>
            <w:pPr>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t>2.2.4（4）</w:t>
            </w:r>
          </w:p>
        </w:tc>
        <w:tc>
          <w:tcPr>
            <w:tcW w:w="438" w:type="dxa"/>
            <w:vMerge w:val="restart"/>
            <w:noWrap w:val="0"/>
            <w:vAlign w:val="center"/>
          </w:tcPr>
          <w:p>
            <w:pPr>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t>其他因素</w:t>
            </w:r>
          </w:p>
        </w:tc>
        <w:tc>
          <w:tcPr>
            <w:tcW w:w="439" w:type="dxa"/>
            <w:noWrap w:val="0"/>
            <w:vAlign w:val="center"/>
          </w:tcPr>
          <w:p>
            <w:pPr>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t>业绩</w:t>
            </w:r>
          </w:p>
        </w:tc>
        <w:tc>
          <w:tcPr>
            <w:tcW w:w="1021" w:type="dxa"/>
            <w:noWrap w:val="0"/>
            <w:vAlign w:val="center"/>
          </w:tcPr>
          <w:p>
            <w:pPr>
              <w:spacing w:line="360" w:lineRule="exac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rPr>
              <w:t>5</w:t>
            </w:r>
            <w:r>
              <w:rPr>
                <w:rFonts w:ascii="Times New Roman" w:hAnsi="Times New Roman" w:eastAsia="宋体" w:cs="Times New Roman"/>
                <w:sz w:val="21"/>
                <w:szCs w:val="21"/>
              </w:rPr>
              <w:t>分</w:t>
            </w:r>
          </w:p>
        </w:tc>
        <w:tc>
          <w:tcPr>
            <w:tcW w:w="1319" w:type="dxa"/>
            <w:noWrap w:val="0"/>
            <w:vAlign w:val="center"/>
          </w:tcPr>
          <w:p>
            <w:pPr>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t>业绩</w:t>
            </w:r>
          </w:p>
        </w:tc>
        <w:tc>
          <w:tcPr>
            <w:tcW w:w="619" w:type="dxa"/>
            <w:noWrap w:val="0"/>
            <w:vAlign w:val="center"/>
          </w:tcPr>
          <w:p>
            <w:pPr>
              <w:spacing w:line="360" w:lineRule="exac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rPr>
              <w:t>5</w:t>
            </w:r>
            <w:r>
              <w:rPr>
                <w:rFonts w:ascii="Times New Roman" w:hAnsi="Times New Roman" w:eastAsia="宋体" w:cs="Times New Roman"/>
                <w:sz w:val="21"/>
                <w:szCs w:val="21"/>
              </w:rPr>
              <w:t>分</w:t>
            </w:r>
          </w:p>
        </w:tc>
        <w:tc>
          <w:tcPr>
            <w:tcW w:w="4718" w:type="dxa"/>
            <w:noWrap w:val="0"/>
            <w:vAlign w:val="top"/>
          </w:tcPr>
          <w:p>
            <w:pPr>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t>①满足资格审查要求的，得</w:t>
            </w:r>
            <w:r>
              <w:rPr>
                <w:rFonts w:hint="eastAsia" w:ascii="Times New Roman" w:hAnsi="Times New Roman" w:eastAsia="宋体" w:cs="Times New Roman"/>
                <w:sz w:val="21"/>
                <w:szCs w:val="21"/>
                <w:lang w:val="en-US" w:eastAsia="zh-CN"/>
              </w:rPr>
              <w:t>11</w:t>
            </w:r>
            <w:r>
              <w:rPr>
                <w:rFonts w:ascii="Times New Roman" w:hAnsi="Times New Roman" w:eastAsia="宋体" w:cs="Times New Roman"/>
                <w:sz w:val="21"/>
                <w:szCs w:val="21"/>
              </w:rPr>
              <w:t>分；</w:t>
            </w:r>
          </w:p>
          <w:p>
            <w:pPr>
              <w:spacing w:line="36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②</w:t>
            </w:r>
            <w:r>
              <w:rPr>
                <w:rFonts w:ascii="Times New Roman" w:hAnsi="Times New Roman" w:eastAsia="宋体" w:cs="Times New Roman"/>
                <w:sz w:val="21"/>
                <w:szCs w:val="21"/>
              </w:rPr>
              <w:t>与资格审查要求相比，近5年投标人每增加1项满足资格审查要求的业绩加</w:t>
            </w:r>
            <w:r>
              <w:rPr>
                <w:rFonts w:hint="eastAsia" w:ascii="Times New Roman" w:hAnsi="Times New Roman" w:eastAsia="宋体" w:cs="Times New Roman"/>
                <w:sz w:val="21"/>
                <w:szCs w:val="21"/>
                <w:lang w:val="en-US" w:eastAsia="zh-CN"/>
              </w:rPr>
              <w:t>2</w:t>
            </w:r>
            <w:r>
              <w:rPr>
                <w:rFonts w:ascii="Times New Roman" w:hAnsi="Times New Roman" w:eastAsia="宋体" w:cs="Times New Roman"/>
                <w:sz w:val="21"/>
                <w:szCs w:val="21"/>
              </w:rPr>
              <w:t>分，本项最多加</w:t>
            </w:r>
            <w:r>
              <w:rPr>
                <w:rFonts w:hint="eastAsia" w:ascii="Times New Roman" w:hAnsi="Times New Roman" w:eastAsia="宋体" w:cs="Times New Roman"/>
                <w:sz w:val="21"/>
                <w:szCs w:val="21"/>
                <w:lang w:val="en-US" w:eastAsia="zh-CN"/>
              </w:rPr>
              <w:t>4</w:t>
            </w:r>
            <w:r>
              <w:rPr>
                <w:rFonts w:ascii="Times New Roman" w:hAnsi="Times New Roman" w:eastAsia="宋体" w:cs="Times New Roman"/>
                <w:sz w:val="21"/>
                <w:szCs w:val="21"/>
              </w:rPr>
              <w:t>分。</w:t>
            </w:r>
          </w:p>
          <w:p>
            <w:pPr>
              <w:spacing w:line="360" w:lineRule="exact"/>
              <w:rPr>
                <w:rFonts w:ascii="Times New Roman" w:hAnsi="Times New Roman" w:eastAsia="宋体" w:cs="Times New Roman"/>
                <w:sz w:val="21"/>
                <w:szCs w:val="21"/>
              </w:rPr>
            </w:pPr>
            <w:r>
              <w:rPr>
                <w:rFonts w:hint="eastAsia"/>
                <w:b/>
                <w:bCs/>
                <w:sz w:val="21"/>
                <w:szCs w:val="21"/>
                <w:lang w:val="en-US"/>
              </w:rPr>
              <w:t>评审依据：</w:t>
            </w:r>
            <w:r>
              <w:rPr>
                <w:rFonts w:hint="eastAsia"/>
                <w:bCs/>
                <w:sz w:val="21"/>
                <w:szCs w:val="21"/>
                <w:lang w:val="en-US"/>
              </w:rPr>
              <w:t>业绩应上传在交通运输部“全国公路建设市场信用信息管理系统”（网址：http：//glxy.mot.gov.cn/BM/）中查询到的企业“业绩信息”相关项目网页截图彩色扫描件。在交通运输部“全国公路建设市场信用信息管理系统”中无法查询，但可在省级交通运输主管部门“公路建设市场信用信息管理系统”中查询的，应上传省级交通运输主管部门“公路建设市场信用信息管理系统”中查询到的网页截图彩色扫描件并注明查询路径。</w:t>
            </w:r>
            <w:r>
              <w:rPr>
                <w:rFonts w:hint="eastAsia"/>
                <w:sz w:val="21"/>
                <w:szCs w:val="21"/>
              </w:rPr>
              <w:t>如投标人未提供相关项目网页截图彩色扫描件或相关项目网页截图中信息无法证实投标人</w:t>
            </w:r>
            <w:r>
              <w:rPr>
                <w:rFonts w:hint="eastAsia"/>
                <w:sz w:val="21"/>
                <w:szCs w:val="21"/>
                <w:lang w:val="en-US"/>
              </w:rPr>
              <w:t>满足</w:t>
            </w:r>
            <w:r>
              <w:rPr>
                <w:rFonts w:hint="eastAsia"/>
                <w:sz w:val="21"/>
                <w:szCs w:val="21"/>
              </w:rPr>
              <w:t>招标文件规定的资格审查条件和评分因素，则投标人应提供中标通知书、合同协议书、监理项目评定书（交工证书）等证明材料的彩色扫描件，以证明该业绩满足资格审查条件和评分因素，否则该项目业绩不予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1207" w:type="dxa"/>
            <w:vMerge w:val="continue"/>
            <w:noWrap w:val="0"/>
            <w:vAlign w:val="center"/>
          </w:tcPr>
          <w:p>
            <w:pPr>
              <w:spacing w:line="360" w:lineRule="exact"/>
              <w:rPr>
                <w:rFonts w:ascii="Times New Roman" w:hAnsi="Times New Roman" w:eastAsia="宋体" w:cs="Times New Roman"/>
                <w:sz w:val="21"/>
                <w:szCs w:val="21"/>
              </w:rPr>
            </w:pPr>
          </w:p>
        </w:tc>
        <w:tc>
          <w:tcPr>
            <w:tcW w:w="438" w:type="dxa"/>
            <w:vMerge w:val="continue"/>
            <w:noWrap w:val="0"/>
            <w:vAlign w:val="center"/>
          </w:tcPr>
          <w:p>
            <w:pPr>
              <w:spacing w:line="360" w:lineRule="exact"/>
              <w:rPr>
                <w:rFonts w:ascii="Times New Roman" w:hAnsi="Times New Roman" w:eastAsia="宋体" w:cs="Times New Roman"/>
                <w:sz w:val="21"/>
                <w:szCs w:val="21"/>
              </w:rPr>
            </w:pPr>
          </w:p>
        </w:tc>
        <w:tc>
          <w:tcPr>
            <w:tcW w:w="439" w:type="dxa"/>
            <w:noWrap w:val="0"/>
            <w:vAlign w:val="center"/>
          </w:tcPr>
          <w:p>
            <w:pPr>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t>履约信誉</w:t>
            </w:r>
          </w:p>
        </w:tc>
        <w:tc>
          <w:tcPr>
            <w:tcW w:w="1021" w:type="dxa"/>
            <w:noWrap w:val="0"/>
            <w:vAlign w:val="center"/>
          </w:tcPr>
          <w:p>
            <w:pPr>
              <w:spacing w:line="360" w:lineRule="exac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10</w:t>
            </w:r>
            <w:r>
              <w:rPr>
                <w:rFonts w:ascii="Times New Roman" w:hAnsi="Times New Roman" w:eastAsia="宋体" w:cs="Times New Roman"/>
                <w:sz w:val="21"/>
                <w:szCs w:val="21"/>
              </w:rPr>
              <w:t>分</w:t>
            </w:r>
          </w:p>
        </w:tc>
        <w:tc>
          <w:tcPr>
            <w:tcW w:w="1319" w:type="dxa"/>
            <w:noWrap w:val="0"/>
            <w:vAlign w:val="center"/>
          </w:tcPr>
          <w:p>
            <w:pPr>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t>履约信誉</w:t>
            </w:r>
          </w:p>
        </w:tc>
        <w:tc>
          <w:tcPr>
            <w:tcW w:w="619" w:type="dxa"/>
            <w:noWrap w:val="0"/>
            <w:vAlign w:val="center"/>
          </w:tcPr>
          <w:p>
            <w:pPr>
              <w:spacing w:line="360" w:lineRule="exac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10</w:t>
            </w:r>
            <w:r>
              <w:rPr>
                <w:rFonts w:ascii="Times New Roman" w:hAnsi="Times New Roman" w:eastAsia="宋体" w:cs="Times New Roman"/>
                <w:sz w:val="21"/>
                <w:szCs w:val="21"/>
              </w:rPr>
              <w:t>分</w:t>
            </w:r>
          </w:p>
        </w:tc>
        <w:tc>
          <w:tcPr>
            <w:tcW w:w="4718" w:type="dxa"/>
            <w:noWrap w:val="0"/>
            <w:vAlign w:val="center"/>
          </w:tcPr>
          <w:p>
            <w:pPr>
              <w:spacing w:line="360" w:lineRule="exact"/>
              <w:rPr>
                <w:rFonts w:hint="eastAsia" w:ascii="Times New Roman" w:hAnsi="Times New Roman" w:eastAsia="宋体" w:cs="Times New Roman"/>
                <w:sz w:val="21"/>
                <w:szCs w:val="21"/>
              </w:rPr>
            </w:pPr>
            <w:r>
              <w:rPr>
                <w:rFonts w:hint="eastAsia" w:cs="Times New Roman"/>
                <w:sz w:val="21"/>
                <w:szCs w:val="21"/>
                <w:lang w:eastAsia="zh-CN"/>
              </w:rPr>
              <w:t>投标人在</w:t>
            </w:r>
            <w:r>
              <w:rPr>
                <w:rFonts w:hint="eastAsia" w:ascii="Times New Roman" w:hAnsi="Times New Roman" w:eastAsia="宋体" w:cs="Times New Roman"/>
                <w:sz w:val="21"/>
                <w:szCs w:val="21"/>
              </w:rPr>
              <w:t>江西省交通运输厅</w:t>
            </w:r>
            <w:r>
              <w:rPr>
                <w:rFonts w:hint="eastAsia" w:cs="Times New Roman"/>
                <w:sz w:val="21"/>
                <w:szCs w:val="21"/>
                <w:lang w:eastAsia="zh-CN"/>
              </w:rPr>
              <w:t>或全国公路建设市场信息管理系统中</w:t>
            </w:r>
            <w:r>
              <w:rPr>
                <w:rFonts w:hint="eastAsia" w:ascii="Times New Roman" w:hAnsi="Times New Roman" w:eastAsia="宋体" w:cs="Times New Roman"/>
                <w:sz w:val="21"/>
                <w:szCs w:val="21"/>
              </w:rPr>
              <w:t>2020年、2021年、2022年</w:t>
            </w:r>
            <w:r>
              <w:rPr>
                <w:rFonts w:hint="eastAsia" w:cs="Times New Roman"/>
                <w:sz w:val="21"/>
                <w:szCs w:val="21"/>
                <w:lang w:eastAsia="zh-CN"/>
              </w:rPr>
              <w:t>三年内其中</w:t>
            </w:r>
            <w:r>
              <w:rPr>
                <w:rFonts w:hint="eastAsia" w:ascii="Times New Roman" w:hAnsi="Times New Roman" w:eastAsia="宋体" w:cs="Times New Roman"/>
                <w:sz w:val="21"/>
                <w:szCs w:val="21"/>
              </w:rPr>
              <w:t>任意一年信用评级评为AA级的得10分，A级的得</w:t>
            </w:r>
            <w:r>
              <w:rPr>
                <w:rFonts w:hint="eastAsia" w:cs="Times New Roman"/>
                <w:sz w:val="21"/>
                <w:szCs w:val="21"/>
                <w:lang w:val="en-US" w:eastAsia="zh-CN"/>
              </w:rPr>
              <w:t>9</w:t>
            </w:r>
            <w:r>
              <w:rPr>
                <w:rFonts w:hint="eastAsia" w:ascii="Times New Roman" w:hAnsi="Times New Roman" w:eastAsia="宋体" w:cs="Times New Roman"/>
                <w:sz w:val="21"/>
                <w:szCs w:val="21"/>
              </w:rPr>
              <w:t>分，B级的得</w:t>
            </w:r>
            <w:r>
              <w:rPr>
                <w:rFonts w:hint="eastAsia" w:cs="Times New Roman"/>
                <w:sz w:val="21"/>
                <w:szCs w:val="21"/>
                <w:lang w:val="en-US" w:eastAsia="zh-CN"/>
              </w:rPr>
              <w:t>7.5</w:t>
            </w:r>
            <w:r>
              <w:rPr>
                <w:rFonts w:hint="eastAsia" w:ascii="Times New Roman" w:hAnsi="Times New Roman" w:eastAsia="宋体" w:cs="Times New Roman"/>
                <w:sz w:val="21"/>
                <w:szCs w:val="21"/>
              </w:rPr>
              <w:t>分，C级得</w:t>
            </w:r>
            <w:r>
              <w:rPr>
                <w:rFonts w:hint="eastAsia" w:cs="Times New Roman"/>
                <w:sz w:val="21"/>
                <w:szCs w:val="21"/>
                <w:lang w:val="en-US" w:eastAsia="zh-CN"/>
              </w:rPr>
              <w:t>6</w:t>
            </w:r>
            <w:r>
              <w:rPr>
                <w:rFonts w:hint="eastAsia" w:ascii="Times New Roman" w:hAnsi="Times New Roman" w:eastAsia="宋体" w:cs="Times New Roman"/>
                <w:sz w:val="21"/>
                <w:szCs w:val="21"/>
              </w:rPr>
              <w:t>分。</w:t>
            </w:r>
          </w:p>
          <w:p>
            <w:pPr>
              <w:spacing w:line="360" w:lineRule="exac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（没有在江西省交通运输厅</w:t>
            </w:r>
            <w:r>
              <w:rPr>
                <w:rFonts w:hint="eastAsia" w:cs="Times New Roman"/>
                <w:sz w:val="21"/>
                <w:szCs w:val="21"/>
                <w:lang w:eastAsia="zh-CN"/>
              </w:rPr>
              <w:t>或全国公路建设市场信息管理系统</w:t>
            </w:r>
            <w:r>
              <w:rPr>
                <w:rFonts w:hint="eastAsia" w:ascii="Times New Roman" w:hAnsi="Times New Roman" w:eastAsia="宋体" w:cs="Times New Roman"/>
                <w:sz w:val="21"/>
                <w:szCs w:val="21"/>
              </w:rPr>
              <w:t>的公路工程监理企业信用评价的按</w:t>
            </w:r>
            <w:r>
              <w:rPr>
                <w:rFonts w:hint="eastAsia" w:cs="Times New Roman"/>
                <w:sz w:val="21"/>
                <w:szCs w:val="21"/>
                <w:lang w:val="en-US" w:eastAsia="zh-CN"/>
              </w:rPr>
              <w:t>C</w:t>
            </w:r>
            <w:r>
              <w:rPr>
                <w:rFonts w:hint="eastAsia" w:ascii="Times New Roman" w:hAnsi="Times New Roman" w:eastAsia="宋体" w:cs="Times New Roman"/>
                <w:sz w:val="21"/>
                <w:szCs w:val="21"/>
              </w:rPr>
              <w:t>级确定）</w:t>
            </w:r>
          </w:p>
          <w:p>
            <w:pPr>
              <w:spacing w:line="360" w:lineRule="exac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评审依据：</w:t>
            </w:r>
            <w:r>
              <w:rPr>
                <w:rFonts w:hint="eastAsia" w:ascii="Times New Roman" w:hAnsi="Times New Roman" w:eastAsia="宋体" w:cs="Times New Roman"/>
                <w:sz w:val="21"/>
                <w:szCs w:val="21"/>
                <w:lang w:val="en-US"/>
              </w:rPr>
              <w:t>网上上传有效的</w:t>
            </w:r>
            <w:r>
              <w:rPr>
                <w:rFonts w:hint="eastAsia" w:ascii="Times New Roman" w:hAnsi="Times New Roman" w:eastAsia="宋体" w:cs="Times New Roman"/>
                <w:sz w:val="21"/>
                <w:szCs w:val="21"/>
              </w:rPr>
              <w:t>该网站网页截图</w:t>
            </w:r>
            <w:r>
              <w:rPr>
                <w:rFonts w:hint="eastAsia" w:ascii="Times New Roman" w:hAnsi="Times New Roman" w:eastAsia="宋体" w:cs="Times New Roman"/>
                <w:sz w:val="21"/>
                <w:szCs w:val="21"/>
                <w:lang w:val="en-US"/>
              </w:rPr>
              <w:t>彩</w:t>
            </w:r>
            <w:r>
              <w:rPr>
                <w:rFonts w:hint="eastAsia" w:ascii="Times New Roman" w:hAnsi="Times New Roman" w:eastAsia="宋体" w:cs="Times New Roman"/>
                <w:sz w:val="21"/>
                <w:szCs w:val="21"/>
              </w:rPr>
              <w:t>色</w:t>
            </w:r>
            <w:r>
              <w:rPr>
                <w:rFonts w:hint="eastAsia" w:ascii="Times New Roman" w:hAnsi="Times New Roman" w:eastAsia="宋体" w:cs="Times New Roman"/>
                <w:sz w:val="21"/>
                <w:szCs w:val="21"/>
                <w:lang w:val="en-US"/>
              </w:rPr>
              <w:t>扫描件</w:t>
            </w:r>
            <w:r>
              <w:rPr>
                <w:rFonts w:hint="eastAsia" w:ascii="Times New Roman" w:hAnsi="Times New Roman" w:eastAsia="宋体" w:cs="Times New Roman"/>
                <w:sz w:val="21"/>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207" w:type="dxa"/>
            <w:noWrap w:val="0"/>
            <w:vAlign w:val="center"/>
          </w:tcPr>
          <w:p>
            <w:pPr>
              <w:spacing w:line="360" w:lineRule="exact"/>
              <w:jc w:val="center"/>
              <w:rPr>
                <w:sz w:val="21"/>
                <w:szCs w:val="21"/>
              </w:rPr>
            </w:pPr>
            <w:r>
              <w:rPr>
                <w:sz w:val="21"/>
                <w:szCs w:val="21"/>
              </w:rPr>
              <w:t>3.11</w:t>
            </w:r>
          </w:p>
        </w:tc>
        <w:tc>
          <w:tcPr>
            <w:tcW w:w="877" w:type="dxa"/>
            <w:gridSpan w:val="2"/>
            <w:noWrap w:val="0"/>
            <w:vAlign w:val="center"/>
          </w:tcPr>
          <w:p>
            <w:pPr>
              <w:spacing w:line="360" w:lineRule="exact"/>
              <w:jc w:val="center"/>
              <w:rPr>
                <w:sz w:val="21"/>
                <w:szCs w:val="21"/>
              </w:rPr>
            </w:pPr>
            <w:r>
              <w:rPr>
                <w:sz w:val="21"/>
                <w:szCs w:val="21"/>
              </w:rPr>
              <w:t>招标人补充的其他内容</w:t>
            </w:r>
          </w:p>
        </w:tc>
        <w:tc>
          <w:tcPr>
            <w:tcW w:w="7677" w:type="dxa"/>
            <w:gridSpan w:val="4"/>
            <w:noWrap w:val="0"/>
            <w:vAlign w:val="center"/>
          </w:tcPr>
          <w:p>
            <w:pPr>
              <w:spacing w:line="360" w:lineRule="exact"/>
              <w:rPr>
                <w:sz w:val="21"/>
                <w:szCs w:val="21"/>
              </w:rPr>
            </w:pPr>
            <w:r>
              <w:rPr>
                <w:sz w:val="21"/>
                <w:szCs w:val="21"/>
              </w:rPr>
              <w:t>（1）本项目评标办法前附表与评标办法正文不一致的，以评标办法前附表内容为准。</w:t>
            </w:r>
          </w:p>
          <w:p>
            <w:pPr>
              <w:spacing w:line="360" w:lineRule="exact"/>
              <w:rPr>
                <w:sz w:val="21"/>
                <w:szCs w:val="21"/>
              </w:rPr>
            </w:pPr>
            <w:r>
              <w:rPr>
                <w:sz w:val="21"/>
                <w:szCs w:val="21"/>
              </w:rPr>
              <w:t>评标基准价的计算：</w:t>
            </w:r>
          </w:p>
          <w:p>
            <w:pPr>
              <w:spacing w:line="360" w:lineRule="exact"/>
              <w:rPr>
                <w:sz w:val="21"/>
                <w:szCs w:val="21"/>
              </w:rPr>
            </w:pPr>
            <w:r>
              <w:rPr>
                <w:sz w:val="21"/>
                <w:szCs w:val="21"/>
              </w:rPr>
              <w:t>在第二个信封开标时，招标人将当场计算并宣布评标基准价。</w:t>
            </w:r>
          </w:p>
          <w:p>
            <w:pPr>
              <w:spacing w:line="360" w:lineRule="exact"/>
              <w:rPr>
                <w:sz w:val="21"/>
                <w:szCs w:val="21"/>
              </w:rPr>
            </w:pPr>
            <w:r>
              <w:rPr>
                <w:sz w:val="21"/>
                <w:szCs w:val="21"/>
              </w:rPr>
              <w:t>1）评标价的确定：评标价＝投标函文字报价</w:t>
            </w:r>
          </w:p>
          <w:p>
            <w:pPr>
              <w:spacing w:line="360" w:lineRule="exact"/>
              <w:rPr>
                <w:sz w:val="21"/>
                <w:szCs w:val="21"/>
              </w:rPr>
            </w:pPr>
            <w:r>
              <w:rPr>
                <w:sz w:val="21"/>
                <w:szCs w:val="21"/>
              </w:rPr>
              <w:t>2）不参与评标基准价的计算的情形</w:t>
            </w:r>
          </w:p>
          <w:p>
            <w:pPr>
              <w:spacing w:line="360" w:lineRule="exact"/>
              <w:rPr>
                <w:sz w:val="21"/>
                <w:szCs w:val="21"/>
              </w:rPr>
            </w:pPr>
            <w:r>
              <w:rPr>
                <w:sz w:val="21"/>
                <w:szCs w:val="21"/>
              </w:rPr>
              <w:t>在第二个信封开标过程中，若招标人发现投标文件出现以下任一情况，其投标报价不参与评标基准价的计算：</w:t>
            </w:r>
          </w:p>
          <w:p>
            <w:pPr>
              <w:spacing w:line="360" w:lineRule="exact"/>
              <w:rPr>
                <w:sz w:val="21"/>
                <w:szCs w:val="21"/>
              </w:rPr>
            </w:pPr>
            <w:r>
              <w:rPr>
                <w:sz w:val="21"/>
                <w:szCs w:val="21"/>
              </w:rPr>
              <w:t>①未在投标函上填写投标总价；</w:t>
            </w:r>
          </w:p>
          <w:p>
            <w:pPr>
              <w:spacing w:line="360" w:lineRule="exact"/>
              <w:rPr>
                <w:sz w:val="21"/>
                <w:szCs w:val="21"/>
              </w:rPr>
            </w:pPr>
            <w:r>
              <w:rPr>
                <w:sz w:val="21"/>
                <w:szCs w:val="21"/>
              </w:rPr>
              <w:t>②投标报价高于招标人公布的最高投标限价；</w:t>
            </w:r>
          </w:p>
          <w:p>
            <w:pPr>
              <w:spacing w:line="360" w:lineRule="exact"/>
              <w:rPr>
                <w:sz w:val="21"/>
                <w:szCs w:val="21"/>
              </w:rPr>
            </w:pPr>
            <w:r>
              <w:rPr>
                <w:sz w:val="21"/>
                <w:szCs w:val="21"/>
              </w:rPr>
              <w:t>③</w:t>
            </w:r>
            <w:r>
              <w:rPr>
                <w:sz w:val="21"/>
                <w:szCs w:val="21"/>
                <w:u w:val="single"/>
              </w:rPr>
              <w:t xml:space="preserve">       /    </w:t>
            </w:r>
            <w:r>
              <w:rPr>
                <w:sz w:val="21"/>
                <w:szCs w:val="21"/>
              </w:rPr>
              <w:t xml:space="preserve"> 。</w:t>
            </w:r>
          </w:p>
          <w:p>
            <w:pPr>
              <w:spacing w:line="360" w:lineRule="exact"/>
              <w:rPr>
                <w:sz w:val="21"/>
                <w:szCs w:val="21"/>
              </w:rPr>
            </w:pPr>
            <w:r>
              <w:rPr>
                <w:sz w:val="21"/>
                <w:szCs w:val="21"/>
              </w:rPr>
              <w:t>3）评标价平均值的计算：</w:t>
            </w:r>
          </w:p>
          <w:p>
            <w:pPr>
              <w:spacing w:line="360" w:lineRule="exact"/>
              <w:rPr>
                <w:sz w:val="21"/>
                <w:szCs w:val="21"/>
              </w:rPr>
            </w:pPr>
            <w:r>
              <w:rPr>
                <w:sz w:val="21"/>
                <w:szCs w:val="21"/>
              </w:rPr>
              <w:t>除按评标办法2.2.2（2）规定不参加评标基准价计算的投标报价之外，参与第二信封评审所有投标人的评标价的算术平均值即为评标价平均值。</w:t>
            </w:r>
          </w:p>
          <w:p>
            <w:pPr>
              <w:spacing w:line="360" w:lineRule="exact"/>
              <w:rPr>
                <w:sz w:val="21"/>
                <w:szCs w:val="21"/>
              </w:rPr>
            </w:pPr>
            <w:r>
              <w:rPr>
                <w:sz w:val="21"/>
                <w:szCs w:val="21"/>
              </w:rPr>
              <w:t>4）评标基准价的确定：</w:t>
            </w:r>
          </w:p>
          <w:p>
            <w:pPr>
              <w:spacing w:line="360" w:lineRule="exact"/>
              <w:ind w:left="200" w:leftChars="100" w:right="100" w:rightChars="50" w:firstLine="210" w:firstLineChars="100"/>
              <w:rPr>
                <w:szCs w:val="21"/>
              </w:rPr>
            </w:pPr>
            <w:r>
              <w:rPr>
                <w:sz w:val="21"/>
                <w:szCs w:val="21"/>
              </w:rPr>
              <w:t>①</w:t>
            </w:r>
            <w:r>
              <w:rPr>
                <w:rFonts w:hint="eastAsia"/>
                <w:szCs w:val="21"/>
              </w:rPr>
              <w:t>评标基准价=（A+B）/2</w:t>
            </w:r>
          </w:p>
          <w:p>
            <w:pPr>
              <w:spacing w:line="360" w:lineRule="exact"/>
              <w:ind w:left="200" w:leftChars="100" w:right="100" w:rightChars="50" w:firstLine="200" w:firstLineChars="100"/>
              <w:rPr>
                <w:szCs w:val="21"/>
              </w:rPr>
            </w:pPr>
            <w:r>
              <w:rPr>
                <w:rFonts w:hint="eastAsia"/>
                <w:szCs w:val="21"/>
              </w:rPr>
              <w:t>式中：A为最高限价；</w:t>
            </w:r>
          </w:p>
          <w:p>
            <w:pPr>
              <w:spacing w:line="360" w:lineRule="exact"/>
              <w:ind w:firstLine="1000" w:firstLineChars="500"/>
              <w:rPr>
                <w:sz w:val="21"/>
                <w:szCs w:val="21"/>
              </w:rPr>
            </w:pPr>
            <w:r>
              <w:rPr>
                <w:rFonts w:hint="eastAsia"/>
                <w:szCs w:val="21"/>
              </w:rPr>
              <w:t>B为评标价平均值</w:t>
            </w:r>
            <w:r>
              <w:rPr>
                <w:sz w:val="21"/>
                <w:szCs w:val="21"/>
              </w:rPr>
              <w:t>。</w:t>
            </w:r>
          </w:p>
          <w:p>
            <w:pPr>
              <w:spacing w:line="360" w:lineRule="exact"/>
              <w:rPr>
                <w:sz w:val="21"/>
                <w:szCs w:val="21"/>
              </w:rPr>
            </w:pPr>
            <w:r>
              <w:rPr>
                <w:sz w:val="21"/>
                <w:szCs w:val="21"/>
              </w:rPr>
              <w:t>②第二信封开标时，由招标人按招标文件评标办法的有关规定计算评标基准价，签字确认后当场宣布。</w:t>
            </w:r>
          </w:p>
          <w:p>
            <w:pPr>
              <w:spacing w:line="360" w:lineRule="exact"/>
              <w:rPr>
                <w:sz w:val="21"/>
                <w:szCs w:val="21"/>
              </w:rPr>
            </w:pPr>
            <w:r>
              <w:rPr>
                <w:sz w:val="21"/>
                <w:szCs w:val="21"/>
              </w:rPr>
              <w:t>③开标当场宣布的评标基准价在本次招标投标有效期内保持不变，除评标委员会复核确认其存在计算错误。计算错误是指：a.算术性运算错误；b.计算评标基准价时纳入的投标人数量有误；c.纳入评标基准价计算时的数值有误。</w:t>
            </w:r>
          </w:p>
          <w:p>
            <w:pPr>
              <w:spacing w:line="360" w:lineRule="exact"/>
              <w:rPr>
                <w:sz w:val="21"/>
                <w:szCs w:val="21"/>
              </w:rPr>
            </w:pPr>
            <w:r>
              <w:rPr>
                <w:sz w:val="21"/>
                <w:szCs w:val="21"/>
              </w:rPr>
              <w:t>5</w:t>
            </w:r>
            <w:r>
              <w:rPr>
                <w:rFonts w:hint="eastAsia"/>
                <w:sz w:val="21"/>
                <w:szCs w:val="21"/>
              </w:rPr>
              <w:t>）</w:t>
            </w:r>
            <w:r>
              <w:rPr>
                <w:sz w:val="21"/>
                <w:szCs w:val="21"/>
              </w:rPr>
              <w:t>重新评标时评标基准价的确定（如有）：</w:t>
            </w:r>
          </w:p>
          <w:p>
            <w:pPr>
              <w:spacing w:line="360" w:lineRule="exact"/>
              <w:rPr>
                <w:sz w:val="21"/>
                <w:szCs w:val="21"/>
              </w:rPr>
            </w:pPr>
            <w:r>
              <w:rPr>
                <w:sz w:val="21"/>
                <w:szCs w:val="21"/>
              </w:rPr>
              <w:t>①异议、投诉事项包含评标基准价计算错误的，应由评标委员会复核。计算错误是指：a.算术性运算错误；b.计算评标基准价时纳入的投标人数量有误；c.纳入评标基准价计算时的数值有误。②异议、投诉事项不包含评标基准价计算错误的，重新评标的评标基准价应与原评标的评标基准价保持一致。</w:t>
            </w:r>
          </w:p>
        </w:tc>
      </w:tr>
    </w:tbl>
    <w:p>
      <w:pPr>
        <w:pStyle w:val="5"/>
        <w:rPr>
          <w:lang w:eastAsia="zh-CN"/>
        </w:rPr>
        <w:sectPr>
          <w:pgSz w:w="11907" w:h="16840"/>
          <w:pgMar w:top="1418" w:right="1418" w:bottom="1418" w:left="1588" w:header="851" w:footer="992" w:gutter="0"/>
          <w:pgBorders>
            <w:top w:val="none" w:sz="0" w:space="0"/>
            <w:left w:val="none" w:sz="0" w:space="0"/>
            <w:bottom w:val="none" w:sz="0" w:space="0"/>
            <w:right w:val="none" w:sz="0" w:space="0"/>
          </w:pgBorders>
          <w:cols w:space="720" w:num="1"/>
          <w:docGrid w:linePitch="360" w:charSpace="0"/>
        </w:sectPr>
      </w:pPr>
    </w:p>
    <w:p>
      <w:pPr>
        <w:pStyle w:val="5"/>
        <w:ind w:left="0" w:leftChars="0" w:firstLine="0" w:firstLineChars="0"/>
        <w:rPr>
          <w:rFonts w:hint="eastAsia" w:ascii="黑体" w:hAnsi="黑体" w:eastAsia="黑体" w:cs="黑体"/>
          <w:lang w:eastAsia="zh-CN"/>
        </w:rPr>
        <w:sectPr>
          <w:pgSz w:w="11907" w:h="16840"/>
          <w:pgMar w:top="1418" w:right="1418" w:bottom="1418" w:left="1588" w:header="851" w:footer="992" w:gutter="0"/>
          <w:pgBorders>
            <w:top w:val="none" w:sz="0" w:space="0"/>
            <w:left w:val="none" w:sz="0" w:space="0"/>
            <w:bottom w:val="none" w:sz="0" w:space="0"/>
            <w:right w:val="none" w:sz="0" w:space="0"/>
          </w:pgBorders>
          <w:cols w:space="720" w:num="1"/>
          <w:docGrid w:linePitch="360" w:charSpace="0"/>
        </w:sectPr>
      </w:pPr>
    </w:p>
    <w:bookmarkEnd w:id="1"/>
    <w:p>
      <w:pPr>
        <w:rPr>
          <w:rFonts w:hint="eastAsia" w:ascii="黑体" w:hAnsi="黑体" w:eastAsia="黑体" w:cs="黑体"/>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NGU0MmNmNThiZWMyYmU5M2UxZWJiODZhYmU3ZDQifQ=="/>
  </w:docVars>
  <w:rsids>
    <w:rsidRoot w:val="0BEC1BC7"/>
    <w:rsid w:val="001B1E96"/>
    <w:rsid w:val="00362E94"/>
    <w:rsid w:val="00615E11"/>
    <w:rsid w:val="0065371A"/>
    <w:rsid w:val="007111F1"/>
    <w:rsid w:val="00884568"/>
    <w:rsid w:val="00A414A5"/>
    <w:rsid w:val="00BF5A2D"/>
    <w:rsid w:val="00C17A6B"/>
    <w:rsid w:val="00C92B0F"/>
    <w:rsid w:val="00E8385A"/>
    <w:rsid w:val="00F22E9A"/>
    <w:rsid w:val="07F95559"/>
    <w:rsid w:val="0BEC1BC7"/>
    <w:rsid w:val="10273A2F"/>
    <w:rsid w:val="153D5372"/>
    <w:rsid w:val="16AB5A8E"/>
    <w:rsid w:val="1C7B6A0A"/>
    <w:rsid w:val="35715CC2"/>
    <w:rsid w:val="36AE6AD8"/>
    <w:rsid w:val="5839725E"/>
    <w:rsid w:val="5C964BDC"/>
    <w:rsid w:val="606C716E"/>
    <w:rsid w:val="7D6B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2"/>
    <w:basedOn w:val="1"/>
    <w:next w:val="2"/>
    <w:qFormat/>
    <w:uiPriority w:val="0"/>
    <w:pPr>
      <w:keepNext/>
      <w:keepLines/>
      <w:widowControl w:val="0"/>
      <w:spacing w:before="260" w:after="260" w:line="416" w:lineRule="auto"/>
      <w:jc w:val="both"/>
      <w:outlineLvl w:val="1"/>
    </w:pPr>
    <w:rPr>
      <w:rFonts w:ascii="Cambria" w:hAnsi="Cambria"/>
      <w:b/>
      <w:bCs/>
      <w:kern w:val="2"/>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qFormat/>
    <w:uiPriority w:val="0"/>
    <w:pPr>
      <w:widowControl w:val="0"/>
      <w:ind w:left="153"/>
    </w:pPr>
    <w:rPr>
      <w:sz w:val="22"/>
      <w:lang w:eastAsia="en-US"/>
    </w:rPr>
  </w:style>
  <w:style w:type="paragraph" w:styleId="6">
    <w:name w:val="Body Text Indent"/>
    <w:basedOn w:val="1"/>
    <w:qFormat/>
    <w:uiPriority w:val="0"/>
    <w:pPr>
      <w:widowControl w:val="0"/>
      <w:spacing w:after="120"/>
      <w:ind w:left="420" w:leftChars="200"/>
      <w:jc w:val="both"/>
    </w:pPr>
    <w:rPr>
      <w:kern w:val="2"/>
      <w:sz w:val="21"/>
      <w:szCs w:val="24"/>
    </w:rPr>
  </w:style>
  <w:style w:type="paragraph" w:styleId="7">
    <w:name w:val="footer"/>
    <w:basedOn w:val="1"/>
    <w:link w:val="14"/>
    <w:qFormat/>
    <w:uiPriority w:val="0"/>
    <w:pPr>
      <w:tabs>
        <w:tab w:val="center" w:pos="4153"/>
        <w:tab w:val="right" w:pos="8306"/>
      </w:tabs>
      <w:snapToGrid w:val="0"/>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Table Paragraph"/>
    <w:basedOn w:val="1"/>
    <w:qFormat/>
    <w:uiPriority w:val="99"/>
    <w:pPr>
      <w:widowControl w:val="0"/>
    </w:pPr>
    <w:rPr>
      <w:sz w:val="22"/>
      <w:szCs w:val="22"/>
      <w:lang w:eastAsia="en-US"/>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页眉 Char"/>
    <w:basedOn w:val="10"/>
    <w:link w:val="8"/>
    <w:uiPriority w:val="0"/>
    <w:rPr>
      <w:rFonts w:ascii="Times New Roman" w:hAnsi="Times New Roman" w:eastAsia="宋体" w:cs="Times New Roman"/>
      <w:sz w:val="18"/>
      <w:szCs w:val="18"/>
    </w:rPr>
  </w:style>
  <w:style w:type="character" w:customStyle="1" w:styleId="14">
    <w:name w:val="页脚 Char"/>
    <w:basedOn w:val="10"/>
    <w:link w:val="7"/>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1223</Words>
  <Characters>6975</Characters>
  <Lines>58</Lines>
  <Paragraphs>16</Paragraphs>
  <TotalTime>18</TotalTime>
  <ScaleCrop>false</ScaleCrop>
  <LinksUpToDate>false</LinksUpToDate>
  <CharactersWithSpaces>8182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2021-11-19T09:47:00Z</dcterms:created>
  <dc:creator>yu.jun.</dc:creator>
  <cp:lastModifiedBy>Administrator</cp:lastModifiedBy>
  <cp:lastPrinted>2023-12-20T02:20:00Z</cp:lastPrinted>
  <dcterms:modified xsi:type="dcterms:W3CDTF">2023-12-20T08:23:53Z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3EDA619B0AEC4CA39277D37430FE2553_13</vt:lpwstr>
  </property>
</Properties>
</file>