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上高县</w:t>
      </w:r>
      <w:r>
        <w:rPr>
          <w:rFonts w:hint="eastAsia" w:ascii="宋体" w:hAnsi="宋体" w:cs="宋体"/>
          <w:sz w:val="44"/>
          <w:szCs w:val="44"/>
        </w:rPr>
        <w:t>政府举借债务情况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年，江西省财政厅核定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280358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172673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107685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225360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126283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99077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57776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53265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Style w:val="4"/>
        </w:rPr>
        <w:t>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F"/>
    <w:rsid w:val="0061196F"/>
    <w:rsid w:val="0F470D62"/>
    <w:rsid w:val="121D3992"/>
    <w:rsid w:val="12FA29A1"/>
    <w:rsid w:val="24D068A0"/>
    <w:rsid w:val="2502768D"/>
    <w:rsid w:val="53DA4A4E"/>
    <w:rsid w:val="7F9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35</Words>
  <Characters>204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zpl</cp:lastModifiedBy>
  <cp:lastPrinted>2017-09-07T07:36:00Z</cp:lastPrinted>
  <dcterms:modified xsi:type="dcterms:W3CDTF">2021-05-25T07:03:40Z</dcterms:modified>
  <dc:title>奉新县政府举借债务情况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5140B7E936684CB5BC3ECF5B620043AC</vt:lpwstr>
  </property>
</Properties>
</file>