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jc w:val="center"/>
        <w:rPr>
          <w:rFonts w:hint="default" w:ascii="方正小标宋简体" w:hAnsi="微软雅黑" w:eastAsia="方正小标宋简体" w:cs="微软雅黑"/>
          <w:b w:val="0"/>
          <w:bCs w:val="0"/>
          <w:color w:val="333333"/>
          <w:spacing w:val="8"/>
          <w:sz w:val="44"/>
          <w:szCs w:val="44"/>
          <w:shd w:val="clear" w:color="auto" w:fill="FFFFFF"/>
        </w:rPr>
      </w:pPr>
    </w:p>
    <w:p>
      <w:pPr>
        <w:spacing w:line="560" w:lineRule="exact"/>
        <w:jc w:val="center"/>
      </w:pPr>
      <w:r>
        <w:rPr>
          <w:rFonts w:hint="eastAsia" w:ascii="方正小标宋简体" w:hAnsi="微软雅黑" w:eastAsia="方正小标宋简体" w:cs="微软雅黑"/>
          <w:color w:val="333333"/>
          <w:spacing w:val="8"/>
          <w:sz w:val="44"/>
          <w:szCs w:val="44"/>
          <w:shd w:val="clear" w:color="auto" w:fill="FFFFFF"/>
        </w:rPr>
        <w:t>上高县2023年政府信息公开工作年度报告</w:t>
      </w:r>
    </w:p>
    <w:p>
      <w:pPr>
        <w:pStyle w:val="5"/>
        <w:widowControl/>
        <w:shd w:val="clear" w:color="auto" w:fill="FFFFFF"/>
        <w:spacing w:beforeAutospacing="0" w:afterAutospacing="0" w:line="560" w:lineRule="exact"/>
        <w:ind w:firstLine="632"/>
        <w:jc w:val="both"/>
        <w:rPr>
          <w:rFonts w:hint="eastAsia"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60" w:lineRule="exact"/>
        <w:ind w:firstLine="632"/>
        <w:jc w:val="both"/>
        <w:rPr>
          <w:rFonts w:ascii="仿宋" w:hAnsi="仿宋" w:eastAsia="仿宋" w:cs="方正仿宋_GBK"/>
          <w:color w:val="000000"/>
          <w:spacing w:val="8"/>
          <w:sz w:val="32"/>
          <w:szCs w:val="32"/>
          <w:shd w:val="clear" w:color="auto" w:fill="FFFFFF"/>
        </w:rPr>
      </w:pPr>
      <w:r>
        <w:rPr>
          <w:rFonts w:ascii="仿宋" w:hAnsi="仿宋" w:eastAsia="仿宋" w:cs="方正仿宋_GBK"/>
          <w:color w:val="000000"/>
          <w:spacing w:val="8"/>
          <w:sz w:val="32"/>
          <w:szCs w:val="32"/>
          <w:shd w:val="clear" w:color="auto" w:fill="FFFFFF"/>
        </w:rPr>
        <w:t>根据《中华人民共和国政府信息公开条例》</w:t>
      </w:r>
      <w:r>
        <w:rPr>
          <w:rFonts w:hint="eastAsia" w:ascii="仿宋" w:hAnsi="仿宋" w:eastAsia="仿宋" w:cs="方正仿宋_GBK"/>
          <w:color w:val="000000"/>
          <w:spacing w:val="8"/>
          <w:sz w:val="32"/>
          <w:szCs w:val="32"/>
          <w:shd w:val="clear" w:color="auto" w:fill="FFFFFF"/>
        </w:rPr>
        <w:t>（以下简称《条例》）和《中华人民共和国政府信息公开工作年度报告格式》（国办公开办函〔2021〕30号）规定，编制本年度报告。本报告所列数据统计期限从2023年1月1日起至12月31日止。</w:t>
      </w:r>
    </w:p>
    <w:p>
      <w:pPr>
        <w:pStyle w:val="5"/>
        <w:widowControl/>
        <w:numPr>
          <w:ilvl w:val="0"/>
          <w:numId w:val="1"/>
        </w:numPr>
        <w:shd w:val="clear" w:color="auto" w:fill="FFFFFF"/>
        <w:spacing w:beforeAutospacing="0" w:afterAutospacing="0" w:line="520" w:lineRule="exact"/>
        <w:jc w:val="both"/>
        <w:rPr>
          <w:rFonts w:ascii="仿宋" w:hAnsi="仿宋" w:eastAsia="仿宋" w:cs="仿宋"/>
          <w:color w:val="333333"/>
          <w:spacing w:val="8"/>
          <w:sz w:val="32"/>
          <w:szCs w:val="32"/>
        </w:rPr>
      </w:pPr>
      <w:r>
        <w:rPr>
          <w:rFonts w:ascii="方正黑体_GBK" w:hAnsi="方正黑体_GBK" w:eastAsia="方正黑体_GBK" w:cs="方正黑体_GBK"/>
          <w:color w:val="333333"/>
          <w:spacing w:val="8"/>
          <w:sz w:val="32"/>
          <w:szCs w:val="32"/>
          <w:shd w:val="clear" w:color="auto" w:fill="FFFFFF"/>
        </w:rPr>
        <w:t>总体情况</w:t>
      </w:r>
    </w:p>
    <w:p>
      <w:pPr>
        <w:pStyle w:val="5"/>
        <w:widowControl/>
        <w:shd w:val="clear" w:color="auto" w:fill="FFFFFF"/>
        <w:spacing w:beforeAutospacing="0" w:afterAutospacing="0" w:line="520" w:lineRule="exact"/>
        <w:ind w:firstLine="672" w:firstLineChars="200"/>
        <w:jc w:val="both"/>
        <w:rPr>
          <w:rFonts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2023年，上高县坚持以习近平新时代中国特色社会主义思想为指导，深入学习宣传贯彻党的二十大精神和习近平总书记对江西工作重要讲话精神，深入践行以人民为中心的发展思想，聚焦优化营商环境、保障民生福祉等领域，严格落实《条例》和省市2023年政务公开工作要点，不断提升政府工作透明度和公信力。</w:t>
      </w:r>
    </w:p>
    <w:p>
      <w:pPr>
        <w:pStyle w:val="5"/>
        <w:widowControl/>
        <w:numPr>
          <w:ilvl w:val="0"/>
          <w:numId w:val="2"/>
        </w:numPr>
        <w:shd w:val="clear" w:color="auto" w:fill="FFFFFF"/>
        <w:spacing w:beforeAutospacing="0" w:afterAutospacing="0" w:line="520" w:lineRule="exact"/>
        <w:ind w:firstLine="632"/>
        <w:jc w:val="both"/>
        <w:rPr>
          <w:rFonts w:ascii="仿宋" w:hAnsi="仿宋" w:eastAsia="仿宋" w:cs="方正仿宋_GBK"/>
          <w:color w:val="000000"/>
          <w:spacing w:val="8"/>
          <w:sz w:val="32"/>
          <w:szCs w:val="32"/>
          <w:shd w:val="clear" w:color="auto" w:fill="FFFFFF"/>
        </w:rPr>
      </w:pPr>
      <w:r>
        <w:rPr>
          <w:rFonts w:ascii="方正楷体_GBK" w:hAnsi="方正楷体_GBK" w:eastAsia="方正楷体_GBK" w:cs="方正楷体_GBK"/>
          <w:color w:val="333333"/>
          <w:spacing w:val="8"/>
          <w:sz w:val="32"/>
          <w:szCs w:val="32"/>
          <w:shd w:val="clear" w:color="auto" w:fill="FFFFFF"/>
        </w:rPr>
        <w:t>主动公开情况</w:t>
      </w:r>
      <w:r>
        <w:rPr>
          <w:rFonts w:hint="eastAsia" w:ascii="方正楷体_GBK" w:hAnsi="方正楷体_GBK" w:eastAsia="方正楷体_GBK" w:cs="方正楷体_GBK"/>
          <w:color w:val="333333"/>
          <w:spacing w:val="8"/>
          <w:sz w:val="32"/>
          <w:szCs w:val="32"/>
          <w:shd w:val="clear" w:color="auto" w:fill="FFFFFF"/>
        </w:rPr>
        <w:t>。</w:t>
      </w:r>
      <w:r>
        <w:rPr>
          <w:rFonts w:hint="eastAsia" w:ascii="仿宋" w:hAnsi="仿宋" w:eastAsia="仿宋" w:cs="方正仿宋_GBK"/>
          <w:color w:val="000000"/>
          <w:spacing w:val="8"/>
          <w:sz w:val="32"/>
          <w:szCs w:val="32"/>
          <w:shd w:val="clear" w:color="auto" w:fill="FFFFFF"/>
        </w:rPr>
        <w:t>印发《</w:t>
      </w:r>
      <w:r>
        <w:rPr>
          <w:rFonts w:ascii="仿宋" w:hAnsi="仿宋" w:eastAsia="仿宋" w:cs="方正仿宋_GBK"/>
          <w:color w:val="000000"/>
          <w:spacing w:val="8"/>
          <w:sz w:val="32"/>
          <w:szCs w:val="32"/>
          <w:shd w:val="clear" w:color="auto" w:fill="FFFFFF"/>
        </w:rPr>
        <w:t>202</w:t>
      </w:r>
      <w:r>
        <w:rPr>
          <w:rFonts w:hint="eastAsia" w:ascii="仿宋" w:hAnsi="仿宋" w:eastAsia="仿宋" w:cs="方正仿宋_GBK"/>
          <w:color w:val="000000"/>
          <w:spacing w:val="8"/>
          <w:sz w:val="32"/>
          <w:szCs w:val="32"/>
          <w:shd w:val="clear" w:color="auto" w:fill="FFFFFF"/>
        </w:rPr>
        <w:t>3年上高县政务公开工作要点》，公开县政府和县政府办政策文件21件；发布常务会议信息24次，转发国务院信息55条，通过网站和微信公众号发布政策解读56条、回应关切1860条，主动公开政府信息11907条。</w:t>
      </w:r>
    </w:p>
    <w:p>
      <w:pPr>
        <w:pStyle w:val="5"/>
        <w:widowControl/>
        <w:shd w:val="clear" w:color="auto" w:fill="FFFFFF"/>
        <w:spacing w:beforeAutospacing="0" w:afterAutospacing="0" w:line="520" w:lineRule="exact"/>
        <w:ind w:firstLine="672" w:firstLineChars="200"/>
        <w:jc w:val="both"/>
        <w:rPr>
          <w:rFonts w:ascii="仿宋" w:hAnsi="仿宋" w:eastAsia="仿宋" w:cs="方正仿宋_GBK"/>
          <w:color w:val="000000"/>
          <w:spacing w:val="8"/>
          <w:sz w:val="32"/>
          <w:szCs w:val="32"/>
          <w:shd w:val="clear" w:color="auto" w:fill="FFFFFF"/>
        </w:rPr>
      </w:pPr>
      <w:r>
        <w:rPr>
          <w:rFonts w:hint="eastAsia" w:ascii="方正楷体_GBK" w:hAnsi="方正楷体_GBK" w:eastAsia="方正楷体_GBK" w:cs="方正楷体_GBK"/>
          <w:color w:val="333333"/>
          <w:spacing w:val="8"/>
          <w:sz w:val="32"/>
          <w:szCs w:val="32"/>
          <w:shd w:val="clear" w:color="auto" w:fill="FFFFFF"/>
        </w:rPr>
        <w:t>（二）依申请公开情况。</w:t>
      </w:r>
      <w:r>
        <w:rPr>
          <w:rFonts w:hint="eastAsia" w:ascii="仿宋" w:hAnsi="仿宋" w:eastAsia="仿宋" w:cs="方正仿宋_GBK"/>
          <w:color w:val="000000"/>
          <w:spacing w:val="8"/>
          <w:sz w:val="32"/>
          <w:szCs w:val="32"/>
          <w:shd w:val="clear" w:color="auto" w:fill="FFFFFF"/>
        </w:rPr>
        <w:t>严格执行政府信息公开申请登记、审核、办理、答复、归档工作制度，规范做好依申请公开答复工作。受理依申请公开40件、办结40件，因政府信息公开引起的行政复议0件、行政诉讼0件。</w:t>
      </w:r>
    </w:p>
    <w:p>
      <w:pPr>
        <w:pStyle w:val="5"/>
        <w:spacing w:beforeAutospacing="0" w:afterAutospacing="0" w:line="520" w:lineRule="exact"/>
        <w:ind w:firstLine="672" w:firstLineChars="200"/>
        <w:jc w:val="both"/>
        <w:rPr>
          <w:rFonts w:ascii="仿宋" w:hAnsi="仿宋" w:eastAsia="仿宋" w:cs="方正仿宋_GBK"/>
          <w:color w:val="000000"/>
          <w:spacing w:val="8"/>
          <w:sz w:val="32"/>
          <w:szCs w:val="32"/>
          <w:shd w:val="clear" w:color="auto" w:fill="FFFFFF"/>
        </w:rPr>
      </w:pPr>
      <w:r>
        <w:rPr>
          <w:rFonts w:hint="eastAsia" w:ascii="方正楷体_GBK" w:hAnsi="方正楷体_GBK" w:eastAsia="方正楷体_GBK" w:cs="方正楷体_GBK"/>
          <w:color w:val="333333"/>
          <w:spacing w:val="8"/>
          <w:sz w:val="32"/>
          <w:szCs w:val="32"/>
          <w:shd w:val="clear" w:color="auto" w:fill="FFFFFF"/>
        </w:rPr>
        <w:t>（三）政府信息公开平台建设。</w:t>
      </w:r>
      <w:r>
        <w:rPr>
          <w:rFonts w:hint="eastAsia" w:ascii="仿宋" w:hAnsi="仿宋" w:eastAsia="仿宋" w:cs="方正仿宋_GBK"/>
          <w:color w:val="000000"/>
          <w:spacing w:val="8"/>
          <w:sz w:val="32"/>
          <w:szCs w:val="32"/>
          <w:shd w:val="clear" w:color="auto" w:fill="FFFFFF"/>
        </w:rPr>
        <w:t>不断优化政府网站栏目设置，强化全县政府网站和政务新媒体监管，进一步完善日常监测、季度抽查、绩效考核等多元监管机制。在各线下专区设立政府公报查阅区，满足基层群众的阅读需要。</w:t>
      </w:r>
      <w:r>
        <w:rPr>
          <w:rFonts w:ascii="仿宋" w:hAnsi="仿宋" w:eastAsia="仿宋" w:cs="方正仿宋_GBK"/>
          <w:color w:val="000000"/>
          <w:spacing w:val="8"/>
          <w:sz w:val="32"/>
          <w:szCs w:val="32"/>
          <w:shd w:val="clear" w:color="auto" w:fill="FFFFFF"/>
        </w:rPr>
        <w:t>20</w:t>
      </w:r>
      <w:r>
        <w:rPr>
          <w:rFonts w:hint="eastAsia" w:ascii="仿宋" w:hAnsi="仿宋" w:eastAsia="仿宋" w:cs="方正仿宋_GBK"/>
          <w:color w:val="000000"/>
          <w:spacing w:val="8"/>
          <w:sz w:val="32"/>
          <w:szCs w:val="32"/>
          <w:shd w:val="clear" w:color="auto" w:fill="FFFFFF"/>
        </w:rPr>
        <w:t>23年，共编刊政府公报4期。各地依托政务公开专区开展政府开放活动，2023年开展政府开放活动</w:t>
      </w:r>
      <w:r>
        <w:rPr>
          <w:rFonts w:ascii="仿宋" w:hAnsi="仿宋" w:eastAsia="仿宋" w:cs="方正仿宋_GBK"/>
          <w:color w:val="000000"/>
          <w:spacing w:val="8"/>
          <w:sz w:val="32"/>
          <w:szCs w:val="32"/>
          <w:shd w:val="clear" w:color="auto" w:fill="FFFFFF"/>
        </w:rPr>
        <w:t>72</w:t>
      </w:r>
      <w:r>
        <w:rPr>
          <w:rFonts w:hint="eastAsia" w:ascii="仿宋" w:hAnsi="仿宋" w:eastAsia="仿宋" w:cs="方正仿宋_GBK"/>
          <w:color w:val="000000"/>
          <w:spacing w:val="8"/>
          <w:sz w:val="32"/>
          <w:szCs w:val="32"/>
          <w:shd w:val="clear" w:color="auto" w:fill="FFFFFF"/>
        </w:rPr>
        <w:t>场次。围绕便民利民，在县政务服务中心打造政务公开主题广场，信息获取更加便捷。</w:t>
      </w:r>
    </w:p>
    <w:p>
      <w:pPr>
        <w:pStyle w:val="5"/>
        <w:widowControl/>
        <w:shd w:val="clear" w:color="auto" w:fill="FFFFFF"/>
        <w:spacing w:beforeAutospacing="0" w:afterAutospacing="0" w:line="520" w:lineRule="exact"/>
        <w:ind w:firstLine="632"/>
        <w:jc w:val="both"/>
        <w:rPr>
          <w:rFonts w:ascii="仿宋" w:hAnsi="仿宋" w:eastAsia="仿宋" w:cs="方正仿宋_GBK"/>
          <w:color w:val="000000"/>
          <w:spacing w:val="8"/>
          <w:sz w:val="32"/>
          <w:szCs w:val="32"/>
          <w:shd w:val="clear" w:color="auto" w:fill="FFFFFF"/>
        </w:rPr>
      </w:pPr>
      <w:r>
        <w:rPr>
          <w:rFonts w:hint="eastAsia" w:ascii="方正楷体_GBK" w:hAnsi="方正楷体_GBK" w:eastAsia="方正楷体_GBK" w:cs="方正楷体_GBK"/>
          <w:color w:val="333333"/>
          <w:spacing w:val="8"/>
          <w:sz w:val="32"/>
          <w:szCs w:val="32"/>
          <w:shd w:val="clear" w:color="auto" w:fill="FFFFFF"/>
        </w:rPr>
        <w:t>（四）政府信息管理。</w:t>
      </w:r>
      <w:r>
        <w:rPr>
          <w:rFonts w:hint="eastAsia" w:ascii="仿宋" w:hAnsi="仿宋" w:eastAsia="仿宋" w:cs="方正仿宋_GBK"/>
          <w:color w:val="000000"/>
          <w:spacing w:val="8"/>
          <w:sz w:val="32"/>
          <w:szCs w:val="32"/>
          <w:shd w:val="clear" w:color="auto" w:fill="FFFFFF"/>
        </w:rPr>
        <w:t>做好规范性文件集中公开，做好法定主动公开内容目录调整和信息完善工作。以“统一规范”为根本点，提升解读实效。视频解读《上高县</w:t>
      </w:r>
      <w:r>
        <w:rPr>
          <w:rFonts w:ascii="仿宋" w:hAnsi="仿宋" w:eastAsia="仿宋" w:cs="方正仿宋_GBK"/>
          <w:color w:val="000000"/>
          <w:spacing w:val="8"/>
          <w:sz w:val="32"/>
          <w:szCs w:val="32"/>
          <w:shd w:val="clear" w:color="auto" w:fill="FFFFFF"/>
        </w:rPr>
        <w:t>2023</w:t>
      </w:r>
      <w:r>
        <w:rPr>
          <w:rFonts w:hint="eastAsia" w:ascii="仿宋" w:hAnsi="仿宋" w:eastAsia="仿宋" w:cs="方正仿宋_GBK"/>
          <w:color w:val="000000"/>
          <w:spacing w:val="8"/>
          <w:sz w:val="32"/>
          <w:szCs w:val="32"/>
          <w:shd w:val="clear" w:color="auto" w:fill="FFFFFF"/>
        </w:rPr>
        <w:t>年国民经济和社会发展计划》荣获全市政策解读优秀案例。</w:t>
      </w:r>
    </w:p>
    <w:p>
      <w:pPr>
        <w:pStyle w:val="5"/>
        <w:widowControl/>
        <w:shd w:val="clear" w:color="auto" w:fill="FFFFFF"/>
        <w:spacing w:beforeAutospacing="0" w:afterAutospacing="0" w:line="520" w:lineRule="exact"/>
        <w:ind w:firstLine="632"/>
        <w:rPr>
          <w:rFonts w:ascii="仿宋" w:hAnsi="仿宋" w:eastAsia="仿宋" w:cs="方正仿宋_GBK"/>
          <w:color w:val="000000"/>
          <w:spacing w:val="8"/>
          <w:sz w:val="32"/>
          <w:szCs w:val="32"/>
          <w:shd w:val="clear" w:color="auto" w:fill="FFFFFF"/>
        </w:rPr>
      </w:pPr>
      <w:r>
        <w:rPr>
          <w:rFonts w:hint="eastAsia" w:ascii="方正楷体_GBK" w:hAnsi="方正楷体_GBK" w:eastAsia="方正楷体_GBK" w:cs="方正楷体_GBK"/>
          <w:color w:val="333333"/>
          <w:spacing w:val="8"/>
          <w:sz w:val="32"/>
          <w:szCs w:val="32"/>
          <w:shd w:val="clear" w:color="auto" w:fill="FFFFFF"/>
        </w:rPr>
        <w:t>（五）监督保障。</w:t>
      </w:r>
      <w:r>
        <w:rPr>
          <w:rFonts w:hint="eastAsia" w:ascii="仿宋" w:hAnsi="仿宋" w:eastAsia="仿宋" w:cs="方正仿宋_GBK"/>
          <w:color w:val="000000"/>
          <w:spacing w:val="8"/>
          <w:sz w:val="32"/>
          <w:szCs w:val="32"/>
          <w:shd w:val="clear" w:color="auto" w:fill="FFFFFF"/>
        </w:rPr>
        <w:t>将政务公开工作、政府网站及政务新媒体监管等纳入全县绩效考核内容，按季度开展政务公开评估，督促各相关单位及时整改问题，并将评估结果运用到年度考核中。组织开展全县政务公开考核工作。举办2023 年全县政务公开工作培训班，不断提升全县政务公开能力和水平。开展政府信息公开社会评议，广泛听取公众意见建议。2023年未发生政府信息公开工作责任追究情况。</w:t>
      </w:r>
    </w:p>
    <w:p>
      <w:pPr>
        <w:pStyle w:val="5"/>
        <w:widowControl/>
        <w:shd w:val="clear" w:color="auto" w:fill="FFFFFF"/>
        <w:spacing w:beforeAutospacing="0" w:afterAutospacing="0" w:line="520" w:lineRule="exact"/>
        <w:ind w:firstLine="632"/>
        <w:rPr>
          <w:rFonts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ascii="仿宋" w:hAnsi="仿宋" w:eastAsia="仿宋" w:cs="方正仿宋_GBK"/>
          <w:color w:val="000000"/>
          <w:spacing w:val="8"/>
          <w:sz w:val="32"/>
          <w:szCs w:val="32"/>
          <w:shd w:val="clear" w:color="auto" w:fill="FFFFFF"/>
        </w:rPr>
      </w:pPr>
    </w:p>
    <w:p>
      <w:pPr>
        <w:pStyle w:val="5"/>
        <w:widowControl/>
        <w:numPr>
          <w:ilvl w:val="0"/>
          <w:numId w:val="1"/>
        </w:numPr>
        <w:shd w:val="clear" w:color="auto" w:fill="FFFFFF"/>
        <w:spacing w:before="158" w:beforeAutospacing="0" w:after="158" w:afterAutospacing="0" w:line="520" w:lineRule="exact"/>
        <w:jc w:val="both"/>
        <w:rPr>
          <w:rFonts w:ascii="黑体" w:hAnsi="宋体" w:eastAsia="黑体" w:cs="黑体"/>
          <w:color w:val="333333"/>
          <w:spacing w:val="8"/>
          <w:sz w:val="32"/>
          <w:szCs w:val="32"/>
          <w:shd w:val="clear" w:color="auto" w:fill="FFFFFF"/>
        </w:rPr>
      </w:pPr>
      <w:r>
        <w:rPr>
          <w:rFonts w:ascii="黑体" w:hAnsi="宋体" w:eastAsia="黑体" w:cs="黑体"/>
          <w:color w:val="333333"/>
          <w:spacing w:val="8"/>
          <w:sz w:val="32"/>
          <w:szCs w:val="32"/>
          <w:shd w:val="clear" w:color="auto" w:fill="FFFFFF"/>
        </w:rPr>
        <w:t>主动公开政府信息情况</w:t>
      </w:r>
    </w:p>
    <w:tbl>
      <w:tblPr>
        <w:tblStyle w:val="6"/>
        <w:tblW w:w="10065" w:type="dxa"/>
        <w:jc w:val="center"/>
        <w:tblLayout w:type="autofit"/>
        <w:tblCellMar>
          <w:top w:w="0" w:type="dxa"/>
          <w:left w:w="0" w:type="dxa"/>
          <w:bottom w:w="0" w:type="dxa"/>
          <w:right w:w="0" w:type="dxa"/>
        </w:tblCellMar>
      </w:tblPr>
      <w:tblGrid>
        <w:gridCol w:w="2514"/>
        <w:gridCol w:w="2515"/>
        <w:gridCol w:w="2515"/>
        <w:gridCol w:w="2521"/>
      </w:tblGrid>
      <w:tr>
        <w:tblPrEx>
          <w:tblCellMar>
            <w:top w:w="0" w:type="dxa"/>
            <w:left w:w="0" w:type="dxa"/>
            <w:bottom w:w="0" w:type="dxa"/>
            <w:right w:w="0" w:type="dxa"/>
          </w:tblCellMar>
        </w:tblPrEx>
        <w:trPr>
          <w:trHeight w:val="522" w:hRule="atLeast"/>
          <w:jc w:val="center"/>
        </w:trPr>
        <w:tc>
          <w:tcPr>
            <w:tcW w:w="852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第二十条第（一）项</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信息内容</w:t>
            </w:r>
          </w:p>
        </w:tc>
        <w:tc>
          <w:tcPr>
            <w:tcW w:w="212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本年制发件数</w:t>
            </w:r>
          </w:p>
        </w:tc>
        <w:tc>
          <w:tcPr>
            <w:tcW w:w="212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本年废止件数</w:t>
            </w:r>
          </w:p>
        </w:tc>
        <w:tc>
          <w:tcPr>
            <w:tcW w:w="2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现行有效件数</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规章</w:t>
            </w:r>
          </w:p>
        </w:tc>
        <w:tc>
          <w:tcPr>
            <w:tcW w:w="21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ascii="Times New Roman" w:hAnsi="Times New Roman" w:eastAsia="宋体" w:cs="Times New Roman"/>
                <w:kern w:val="0"/>
                <w:sz w:val="24"/>
              </w:rPr>
              <w:t>0</w:t>
            </w:r>
          </w:p>
        </w:tc>
        <w:tc>
          <w:tcPr>
            <w:tcW w:w="21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ascii="Times New Roman" w:hAnsi="Times New Roman" w:eastAsia="宋体" w:cs="Times New Roman"/>
                <w:kern w:val="0"/>
                <w:sz w:val="24"/>
              </w:rPr>
              <w:t>0</w:t>
            </w:r>
          </w:p>
        </w:tc>
        <w:tc>
          <w:tcPr>
            <w:tcW w:w="2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ascii="Times New Roman" w:hAnsi="Times New Roman" w:eastAsia="宋体" w:cs="Times New Roman"/>
                <w:kern w:val="0"/>
                <w:sz w:val="24"/>
              </w:rPr>
              <w:t>0</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行政规范性文件</w:t>
            </w:r>
          </w:p>
        </w:tc>
        <w:tc>
          <w:tcPr>
            <w:tcW w:w="21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2</w:t>
            </w:r>
          </w:p>
        </w:tc>
        <w:tc>
          <w:tcPr>
            <w:tcW w:w="212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rPr>
                <w:rFonts w:hint="default" w:eastAsiaTheme="minorEastAsia"/>
                <w:lang w:val="en-US" w:eastAsia="zh-CN"/>
              </w:rPr>
            </w:pPr>
            <w:r>
              <w:rPr>
                <w:rFonts w:hint="eastAsia"/>
                <w:lang w:val="en-US" w:eastAsia="zh-CN"/>
              </w:rPr>
              <w:t>52</w:t>
            </w:r>
          </w:p>
        </w:tc>
        <w:tc>
          <w:tcPr>
            <w:tcW w:w="2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rPr>
                <w:rFonts w:hint="default" w:eastAsiaTheme="minorEastAsia"/>
                <w:lang w:val="en-US" w:eastAsia="zh-CN"/>
              </w:rPr>
            </w:pPr>
            <w:r>
              <w:rPr>
                <w:rFonts w:hint="eastAsia"/>
                <w:lang w:val="en-US" w:eastAsia="zh-CN"/>
              </w:rPr>
              <w:t>90</w:t>
            </w:r>
            <w:bookmarkStart w:id="0" w:name="_GoBack"/>
            <w:bookmarkEnd w:id="0"/>
          </w:p>
        </w:tc>
      </w:tr>
      <w:tr>
        <w:tblPrEx>
          <w:tblCellMar>
            <w:top w:w="0" w:type="dxa"/>
            <w:left w:w="0" w:type="dxa"/>
            <w:bottom w:w="0" w:type="dxa"/>
            <w:right w:w="0" w:type="dxa"/>
          </w:tblCellMar>
        </w:tblPrEx>
        <w:trPr>
          <w:trHeight w:val="522" w:hRule="atLeast"/>
          <w:jc w:val="center"/>
        </w:trPr>
        <w:tc>
          <w:tcPr>
            <w:tcW w:w="852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第二十条第（五）项</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信息内容</w:t>
            </w:r>
          </w:p>
        </w:tc>
        <w:tc>
          <w:tcPr>
            <w:tcW w:w="639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本年处理决定数量</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行政许可</w:t>
            </w:r>
          </w:p>
        </w:tc>
        <w:tc>
          <w:tcPr>
            <w:tcW w:w="639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widowControl/>
              <w:spacing w:before="158" w:after="158" w:line="520" w:lineRule="exact"/>
              <w:jc w:val="center"/>
              <w:textAlignment w:val="bottom"/>
            </w:pPr>
            <w:r>
              <w:rPr>
                <w:rFonts w:hint="eastAsia"/>
              </w:rPr>
              <w:t>12588</w:t>
            </w:r>
          </w:p>
        </w:tc>
      </w:tr>
      <w:tr>
        <w:tblPrEx>
          <w:tblCellMar>
            <w:top w:w="0" w:type="dxa"/>
            <w:left w:w="0" w:type="dxa"/>
            <w:bottom w:w="0" w:type="dxa"/>
            <w:right w:w="0" w:type="dxa"/>
          </w:tblCellMar>
        </w:tblPrEx>
        <w:trPr>
          <w:trHeight w:val="522" w:hRule="atLeast"/>
          <w:jc w:val="center"/>
        </w:trPr>
        <w:tc>
          <w:tcPr>
            <w:tcW w:w="852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第二十条第（六）项</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信息内容</w:t>
            </w:r>
          </w:p>
        </w:tc>
        <w:tc>
          <w:tcPr>
            <w:tcW w:w="639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本年处理决定数量</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行政处罚</w:t>
            </w:r>
          </w:p>
        </w:tc>
        <w:tc>
          <w:tcPr>
            <w:tcW w:w="639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widowControl/>
              <w:spacing w:before="158" w:after="158" w:line="520" w:lineRule="exact"/>
              <w:jc w:val="center"/>
              <w:textAlignment w:val="center"/>
            </w:pPr>
            <w:r>
              <w:rPr>
                <w:rFonts w:hint="eastAsia"/>
              </w:rPr>
              <w:t>104733</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行政强制</w:t>
            </w:r>
          </w:p>
        </w:tc>
        <w:tc>
          <w:tcPr>
            <w:tcW w:w="639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widowControl/>
              <w:spacing w:before="158" w:after="158" w:line="520" w:lineRule="exact"/>
              <w:jc w:val="center"/>
              <w:textAlignment w:val="center"/>
            </w:pPr>
            <w:r>
              <w:rPr>
                <w:rFonts w:hint="eastAsia"/>
              </w:rPr>
              <w:t>1292</w:t>
            </w:r>
          </w:p>
        </w:tc>
      </w:tr>
      <w:tr>
        <w:tblPrEx>
          <w:tblCellMar>
            <w:top w:w="0" w:type="dxa"/>
            <w:left w:w="0" w:type="dxa"/>
            <w:bottom w:w="0" w:type="dxa"/>
            <w:right w:w="0" w:type="dxa"/>
          </w:tblCellMar>
        </w:tblPrEx>
        <w:trPr>
          <w:trHeight w:val="522" w:hRule="atLeast"/>
          <w:jc w:val="center"/>
        </w:trPr>
        <w:tc>
          <w:tcPr>
            <w:tcW w:w="852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第二十条第（八）项</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信息内容</w:t>
            </w:r>
          </w:p>
        </w:tc>
        <w:tc>
          <w:tcPr>
            <w:tcW w:w="639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本年收费金额（单位：万元）</w:t>
            </w:r>
          </w:p>
        </w:tc>
      </w:tr>
      <w:tr>
        <w:tblPrEx>
          <w:tblCellMar>
            <w:top w:w="0" w:type="dxa"/>
            <w:left w:w="0" w:type="dxa"/>
            <w:bottom w:w="0" w:type="dxa"/>
            <w:right w:w="0" w:type="dxa"/>
          </w:tblCellMar>
        </w:tblPrEx>
        <w:trPr>
          <w:trHeight w:val="340" w:hRule="atLeast"/>
          <w:jc w:val="center"/>
        </w:trPr>
        <w:tc>
          <w:tcPr>
            <w:tcW w:w="212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left"/>
            </w:pPr>
            <w:r>
              <w:rPr>
                <w:rFonts w:hint="eastAsia" w:ascii="宋体" w:hAnsi="宋体" w:eastAsia="宋体" w:cs="宋体"/>
                <w:kern w:val="0"/>
                <w:sz w:val="24"/>
              </w:rPr>
              <w:t>行政事业性收费</w:t>
            </w:r>
          </w:p>
        </w:tc>
        <w:tc>
          <w:tcPr>
            <w:tcW w:w="639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widowControl/>
              <w:spacing w:before="158" w:after="158" w:line="520" w:lineRule="exact"/>
              <w:jc w:val="center"/>
              <w:textAlignment w:val="bottom"/>
            </w:pPr>
            <w:r>
              <w:rPr>
                <w:rFonts w:hint="eastAsia"/>
              </w:rPr>
              <w:t>15168.71</w:t>
            </w:r>
          </w:p>
        </w:tc>
      </w:tr>
    </w:tbl>
    <w:p>
      <w:pPr>
        <w:pStyle w:val="5"/>
        <w:shd w:val="clear" w:color="auto" w:fill="FFFFFF"/>
        <w:spacing w:beforeAutospacing="0" w:afterAutospacing="0" w:line="560" w:lineRule="exact"/>
        <w:ind w:firstLine="672" w:firstLineChars="200"/>
        <w:jc w:val="both"/>
        <w:rPr>
          <w:rFonts w:ascii="黑体" w:hAnsi="黑体" w:eastAsia="黑体"/>
          <w:bCs/>
          <w:color w:val="000000"/>
          <w:kern w:val="32"/>
          <w:sz w:val="15"/>
          <w:szCs w:val="15"/>
          <w:shd w:val="clear" w:color="auto" w:fill="FFFFFF"/>
        </w:rPr>
      </w:pPr>
      <w:r>
        <w:rPr>
          <w:rFonts w:ascii="Times New Roman" w:hAnsi="Times New Roman" w:eastAsia="宋体"/>
          <w:color w:val="333333"/>
          <w:spacing w:val="8"/>
          <w:sz w:val="32"/>
          <w:szCs w:val="32"/>
          <w:shd w:val="clear" w:color="auto" w:fill="FFFFFF"/>
        </w:rPr>
        <w:t> </w:t>
      </w:r>
      <w:r>
        <w:rPr>
          <w:rFonts w:hint="eastAsia" w:ascii="黑体" w:hAnsi="黑体" w:eastAsia="黑体"/>
          <w:bCs/>
          <w:color w:val="000000"/>
          <w:kern w:val="32"/>
          <w:sz w:val="32"/>
          <w:szCs w:val="32"/>
          <w:shd w:val="clear" w:color="auto" w:fill="FFFFFF"/>
        </w:rPr>
        <w:t>三、收到和处理政府信息公开申请情况</w:t>
      </w:r>
    </w:p>
    <w:tbl>
      <w:tblPr>
        <w:tblStyle w:val="6"/>
        <w:tblW w:w="4795" w:type="pct"/>
        <w:jc w:val="center"/>
        <w:tblLayout w:type="autofit"/>
        <w:tblCellMar>
          <w:top w:w="0" w:type="dxa"/>
          <w:left w:w="0" w:type="dxa"/>
          <w:bottom w:w="0" w:type="dxa"/>
          <w:right w:w="0" w:type="dxa"/>
        </w:tblCellMar>
      </w:tblPr>
      <w:tblGrid>
        <w:gridCol w:w="941"/>
        <w:gridCol w:w="954"/>
        <w:gridCol w:w="3151"/>
        <w:gridCol w:w="529"/>
        <w:gridCol w:w="390"/>
        <w:gridCol w:w="393"/>
        <w:gridCol w:w="673"/>
        <w:gridCol w:w="682"/>
        <w:gridCol w:w="393"/>
        <w:gridCol w:w="534"/>
      </w:tblGrid>
      <w:tr>
        <w:tblPrEx>
          <w:tblCellMar>
            <w:top w:w="0" w:type="dxa"/>
            <w:left w:w="0" w:type="dxa"/>
            <w:bottom w:w="0" w:type="dxa"/>
            <w:right w:w="0" w:type="dxa"/>
          </w:tblCellMar>
        </w:tblPrEx>
        <w:trPr>
          <w:trHeight w:val="318" w:hRule="atLeast"/>
          <w:jc w:val="center"/>
        </w:trPr>
        <w:tc>
          <w:tcPr>
            <w:tcW w:w="2917"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2082"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2917"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07" w:type="pct"/>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1467" w:type="pct"/>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307" w:type="pct"/>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2917"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07" w:type="pct"/>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226"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320" w:lineRule="exact"/>
              <w:ind w:left="-105" w:leftChars="-50" w:right="-105" w:rightChars="-5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320" w:lineRule="exact"/>
              <w:ind w:left="-105" w:leftChars="-50" w:right="-105" w:rightChars="-5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228"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320" w:lineRule="exact"/>
              <w:ind w:left="-105" w:leftChars="-50" w:right="-105" w:rightChars="-5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320" w:lineRule="exact"/>
              <w:ind w:left="-105" w:leftChars="-50" w:right="-105" w:rightChars="-5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390"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320" w:lineRule="exact"/>
              <w:ind w:left="-105" w:leftChars="-50" w:right="-105" w:rightChars="-5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395"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320" w:lineRule="exact"/>
              <w:ind w:left="-105" w:leftChars="-50" w:right="-105" w:rightChars="-5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226"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320" w:lineRule="exact"/>
              <w:ind w:left="-105" w:leftChars="-50" w:right="-105" w:rightChars="-5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307" w:type="pct"/>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291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39</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40</w:t>
            </w:r>
          </w:p>
        </w:tc>
      </w:tr>
      <w:tr>
        <w:tblPrEx>
          <w:tblCellMar>
            <w:top w:w="0" w:type="dxa"/>
            <w:left w:w="0" w:type="dxa"/>
            <w:bottom w:w="0" w:type="dxa"/>
            <w:right w:w="0" w:type="dxa"/>
          </w:tblCellMar>
        </w:tblPrEx>
        <w:trPr>
          <w:trHeight w:val="522" w:hRule="atLeast"/>
          <w:jc w:val="center"/>
        </w:trPr>
        <w:tc>
          <w:tcPr>
            <w:tcW w:w="291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33" w:hRule="atLeast"/>
          <w:jc w:val="center"/>
        </w:trPr>
        <w:tc>
          <w:tcPr>
            <w:tcW w:w="545" w:type="pct"/>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2372"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27</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27</w:t>
            </w:r>
          </w:p>
        </w:tc>
      </w:tr>
      <w:tr>
        <w:tblPrEx>
          <w:tblCellMar>
            <w:top w:w="0" w:type="dxa"/>
            <w:left w:w="0" w:type="dxa"/>
            <w:bottom w:w="0" w:type="dxa"/>
            <w:right w:w="0" w:type="dxa"/>
          </w:tblCellMar>
        </w:tblPrEx>
        <w:trPr>
          <w:trHeight w:val="569"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2"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r>
      <w:tr>
        <w:tblPrEx>
          <w:tblCellMar>
            <w:top w:w="0" w:type="dxa"/>
            <w:left w:w="0" w:type="dxa"/>
            <w:bottom w:w="0" w:type="dxa"/>
            <w:right w:w="0" w:type="dxa"/>
          </w:tblCellMar>
        </w:tblPrEx>
        <w:trPr>
          <w:trHeight w:val="284"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60"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831"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1823"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307"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78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307"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8"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2"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39</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40</w:t>
            </w:r>
          </w:p>
        </w:tc>
      </w:tr>
      <w:tr>
        <w:tblPrEx>
          <w:tblCellMar>
            <w:top w:w="0" w:type="dxa"/>
            <w:left w:w="0" w:type="dxa"/>
            <w:bottom w:w="0" w:type="dxa"/>
            <w:right w:w="0" w:type="dxa"/>
          </w:tblCellMar>
        </w:tblPrEx>
        <w:trPr>
          <w:trHeight w:val="318" w:hRule="atLeast"/>
          <w:jc w:val="center"/>
        </w:trPr>
        <w:tc>
          <w:tcPr>
            <w:tcW w:w="291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9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c>
          <w:tcPr>
            <w:tcW w:w="307"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w:t>
            </w:r>
          </w:p>
        </w:tc>
      </w:tr>
    </w:tbl>
    <w:p>
      <w:pPr>
        <w:widowControl/>
        <w:shd w:val="clear" w:color="auto" w:fill="FFFFFF"/>
        <w:spacing w:before="158" w:after="158" w:line="520" w:lineRule="exact"/>
        <w:ind w:firstLine="632"/>
        <w:rPr>
          <w:rFonts w:ascii="宋体" w:hAnsi="宋体" w:eastAsia="宋体" w:cs="宋体"/>
          <w:color w:val="333333"/>
          <w:spacing w:val="8"/>
          <w:sz w:val="24"/>
        </w:rPr>
      </w:pPr>
      <w:r>
        <w:rPr>
          <w:rFonts w:hint="eastAsia" w:ascii="黑体" w:hAnsi="宋体" w:eastAsia="黑体" w:cs="黑体"/>
          <w:color w:val="333333"/>
          <w:spacing w:val="8"/>
          <w:kern w:val="0"/>
          <w:sz w:val="32"/>
          <w:szCs w:val="32"/>
          <w:shd w:val="clear" w:color="auto" w:fill="FFFFFF"/>
        </w:rPr>
        <w:t>四、政府信息公开行政复议、行政诉讼情况</w:t>
      </w:r>
    </w:p>
    <w:tbl>
      <w:tblPr>
        <w:tblStyle w:val="6"/>
        <w:tblW w:w="1006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70"/>
        <w:gridCol w:w="670"/>
        <w:gridCol w:w="670"/>
        <w:gridCol w:w="670"/>
        <w:gridCol w:w="730"/>
        <w:gridCol w:w="610"/>
        <w:gridCol w:w="671"/>
        <w:gridCol w:w="671"/>
        <w:gridCol w:w="671"/>
        <w:gridCol w:w="671"/>
        <w:gridCol w:w="671"/>
        <w:gridCol w:w="672"/>
        <w:gridCol w:w="672"/>
        <w:gridCol w:w="673"/>
        <w:gridCol w:w="6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widowControl/>
              <w:spacing w:before="158" w:after="158" w:line="520" w:lineRule="exact"/>
              <w:jc w:val="center"/>
            </w:pPr>
            <w:r>
              <w:rPr>
                <w:rFonts w:hint="eastAsia" w:ascii="宋体" w:hAnsi="宋体" w:eastAsia="宋体" w:cs="宋体"/>
                <w:kern w:val="0"/>
                <w:sz w:val="24"/>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pPr>
            <w:r>
              <w:rPr>
                <w:rFonts w:hint="eastAsia" w:ascii="宋体" w:hAnsi="宋体" w:eastAsia="宋体" w:cs="宋体"/>
                <w:kern w:val="0"/>
                <w:sz w:val="24"/>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08"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520" w:lineRule="exact"/>
              <w:ind w:left="-105" w:leftChars="-50" w:right="-105" w:rightChars="-50"/>
              <w:rPr>
                <w:rFonts w:ascii="宋体"/>
                <w:sz w:val="24"/>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520" w:lineRule="exact"/>
              <w:ind w:left="-105" w:leftChars="-50" w:right="-105" w:rightChars="-50"/>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520" w:lineRule="exact"/>
              <w:ind w:left="-105" w:leftChars="-50" w:right="-105" w:rightChars="-50"/>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520" w:lineRule="exact"/>
              <w:ind w:left="-105" w:leftChars="-50" w:right="-105" w:rightChars="-50"/>
              <w:rPr>
                <w:rFonts w:ascii="宋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pacing w:line="520" w:lineRule="exact"/>
              <w:ind w:left="-105" w:leftChars="-50" w:right="-105" w:rightChars="-50"/>
              <w:rPr>
                <w:rFonts w:ascii="宋体"/>
                <w:sz w:val="24"/>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520" w:lineRule="exact"/>
              <w:ind w:left="-105" w:leftChars="-50" w:right="-105" w:rightChars="-50"/>
              <w:jc w:val="center"/>
            </w:pPr>
            <w:r>
              <w:rPr>
                <w:rFonts w:hint="eastAsia" w:ascii="宋体" w:hAnsi="宋体" w:eastAsia="宋体" w:cs="宋体"/>
                <w:kern w:val="0"/>
                <w:sz w:val="24"/>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4" w:hRule="atLeast"/>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58" w:after="158" w:line="520" w:lineRule="exact"/>
              <w:jc w:val="center"/>
              <w:textAlignment w:val="center"/>
            </w:pPr>
            <w:r>
              <w:rPr>
                <w:rFonts w:hint="eastAsia"/>
              </w:rPr>
              <w:t>0</w:t>
            </w:r>
          </w:p>
        </w:tc>
      </w:tr>
    </w:tbl>
    <w:p>
      <w:pPr>
        <w:shd w:val="clear" w:color="auto" w:fill="FFFFFF"/>
        <w:spacing w:line="560" w:lineRule="exact"/>
        <w:ind w:firstLine="672" w:firstLineChars="200"/>
        <w:rPr>
          <w:rFonts w:ascii="宋体" w:hAnsi="宋体" w:eastAsia="宋体" w:cs="宋体"/>
          <w:color w:val="333333"/>
          <w:spacing w:val="8"/>
          <w:sz w:val="24"/>
        </w:rPr>
      </w:pPr>
      <w:r>
        <w:rPr>
          <w:rFonts w:hint="eastAsia" w:ascii="方正黑体_GBK" w:hAnsi="方正黑体_GBK" w:eastAsia="方正黑体_GBK" w:cs="方正黑体_GBK"/>
          <w:color w:val="333333"/>
          <w:spacing w:val="8"/>
          <w:kern w:val="0"/>
          <w:sz w:val="32"/>
          <w:szCs w:val="32"/>
          <w:shd w:val="clear" w:color="auto" w:fill="FFFFFF"/>
        </w:rPr>
        <w:t>五、存在的主要问题及改进情况</w:t>
      </w:r>
    </w:p>
    <w:p>
      <w:pPr>
        <w:pStyle w:val="5"/>
        <w:shd w:val="clear" w:color="auto" w:fill="FFFFFF"/>
        <w:spacing w:beforeAutospacing="0" w:afterAutospacing="0" w:line="560" w:lineRule="exact"/>
        <w:ind w:firstLine="672" w:firstLineChars="200"/>
        <w:jc w:val="both"/>
        <w:rPr>
          <w:rFonts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2023 年，上高县政务公开工作取得一定成效，但仍然存在以下不足：部分政府信息发布时效、政策解读形式、公开成果运用仍需进一步提升完善等。</w:t>
      </w:r>
    </w:p>
    <w:p>
      <w:pPr>
        <w:pStyle w:val="5"/>
        <w:shd w:val="clear" w:color="auto" w:fill="FFFFFF"/>
        <w:spacing w:beforeAutospacing="0" w:afterAutospacing="0" w:line="560" w:lineRule="exact"/>
        <w:ind w:firstLine="672" w:firstLineChars="200"/>
        <w:jc w:val="both"/>
        <w:rPr>
          <w:rFonts w:ascii="方正仿宋_GBK" w:hAnsi="方正仿宋_GBK" w:eastAsia="方正仿宋_GBK" w:cs="方正仿宋_GBK"/>
          <w:color w:val="333333"/>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2024年，着力做好以下方面工作：一是进一步拓展政务公开的深度和广度，加大重点领域信息公开力度，积极推进权力运行全流程、政务服务全过程公开。二是提升政策解读质效，围绕社会关注度高的政策事项，创新解读形式，采用视频、动漫、图解等便于公众理解的形式予以解读。三是继续优化政府信息公开平台功能，规范公开文本格式，提供检索、查询、下载等功能，方便社会公众快</w:t>
      </w:r>
      <w:r>
        <w:rPr>
          <w:rFonts w:hint="eastAsia" w:ascii="方正仿宋_GBK" w:hAnsi="方正仿宋_GBK" w:eastAsia="方正仿宋_GBK" w:cs="方正仿宋_GBK"/>
          <w:color w:val="333333"/>
          <w:spacing w:val="8"/>
          <w:sz w:val="32"/>
          <w:szCs w:val="32"/>
          <w:shd w:val="clear" w:color="auto" w:fill="FFFFFF"/>
        </w:rPr>
        <w:t>速</w:t>
      </w:r>
      <w:r>
        <w:rPr>
          <w:rFonts w:hint="eastAsia" w:ascii="仿宋" w:hAnsi="仿宋" w:eastAsia="仿宋" w:cs="方正仿宋_GBK"/>
          <w:color w:val="000000"/>
          <w:spacing w:val="8"/>
          <w:sz w:val="32"/>
          <w:szCs w:val="32"/>
          <w:shd w:val="clear" w:color="auto" w:fill="FFFFFF"/>
        </w:rPr>
        <w:t>准确获取所需信息。四是促进公开与服务融合，充分结合上高县数字政府建设，向公众提供更精准、更全面的政府信息服务。</w:t>
      </w:r>
    </w:p>
    <w:p>
      <w:pPr>
        <w:shd w:val="clear" w:color="auto" w:fill="FFFFFF"/>
        <w:spacing w:line="560" w:lineRule="exact"/>
        <w:ind w:firstLine="672" w:firstLineChars="200"/>
        <w:rPr>
          <w:rFonts w:ascii="方正黑体_GBK" w:hAnsi="方正黑体_GBK" w:eastAsia="方正黑体_GBK" w:cs="方正黑体_GBK"/>
          <w:color w:val="333333"/>
          <w:spacing w:val="8"/>
          <w:kern w:val="0"/>
          <w:sz w:val="32"/>
          <w:szCs w:val="32"/>
          <w:shd w:val="clear" w:color="auto" w:fill="FFFFFF"/>
        </w:rPr>
      </w:pPr>
      <w:r>
        <w:rPr>
          <w:rFonts w:hint="eastAsia" w:ascii="方正黑体_GBK" w:hAnsi="方正黑体_GBK" w:eastAsia="方正黑体_GBK" w:cs="方正黑体_GBK"/>
          <w:color w:val="333333"/>
          <w:spacing w:val="8"/>
          <w:kern w:val="0"/>
          <w:sz w:val="32"/>
          <w:szCs w:val="32"/>
          <w:shd w:val="clear" w:color="auto" w:fill="FFFFFF"/>
        </w:rPr>
        <w:t>六、其他需要报告的事项依据</w:t>
      </w:r>
    </w:p>
    <w:p>
      <w:pPr>
        <w:pStyle w:val="5"/>
        <w:shd w:val="clear" w:color="auto" w:fill="FFFFFF"/>
        <w:spacing w:beforeAutospacing="0" w:afterAutospacing="0" w:line="560" w:lineRule="exact"/>
        <w:ind w:firstLine="672" w:firstLineChars="200"/>
        <w:jc w:val="both"/>
        <w:rPr>
          <w:rFonts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按照2023年上高县政务公开工作要点，深化重点领域信息公开，强化政策解读质效，政府网站与政务新媒体规范管理，政务信息专项管理，推动新界埠镇、桐山村等政务公开专区提质升级，组织全县政府系统开展“固定开放月”活动，强化政民互动交流，常务会议专题听取了政务公开汇报，年度政务公开工作逐项抓好了落实。</w:t>
      </w:r>
    </w:p>
    <w:p>
      <w:pPr>
        <w:pStyle w:val="5"/>
        <w:shd w:val="clear" w:color="auto" w:fill="FFFFFF"/>
        <w:spacing w:beforeAutospacing="0" w:afterAutospacing="0" w:line="560" w:lineRule="exact"/>
        <w:ind w:firstLine="672" w:firstLineChars="200"/>
        <w:jc w:val="both"/>
        <w:rPr>
          <w:rFonts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2023年度全县未收取政府信息公开信息处理费。</w:t>
      </w:r>
    </w:p>
    <w:p>
      <w:pPr>
        <w:pStyle w:val="5"/>
        <w:shd w:val="clear" w:color="auto" w:fill="FFFFFF"/>
        <w:spacing w:beforeAutospacing="0" w:afterAutospacing="0" w:line="560" w:lineRule="exact"/>
        <w:ind w:firstLine="672" w:firstLineChars="200"/>
        <w:jc w:val="both"/>
        <w:rPr>
          <w:rFonts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本 报 告 电 子 版 可在上高县人民政府门户网站（www.shanggao.gov.cn）查阅下载。如有疑问或意见建议，请与上高县人民政府办公室联系，联系电话：0795—2511219。</w:t>
      </w:r>
    </w:p>
    <w:p>
      <w:pPr>
        <w:pStyle w:val="5"/>
        <w:shd w:val="clear" w:color="auto" w:fill="FFFFFF"/>
        <w:spacing w:beforeAutospacing="0" w:afterAutospacing="0" w:line="560" w:lineRule="exact"/>
        <w:ind w:firstLine="672" w:firstLineChars="200"/>
        <w:jc w:val="both"/>
        <w:rPr>
          <w:rFonts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rPr>
          <w:rFonts w:ascii="仿宋" w:hAnsi="仿宋" w:eastAsia="仿宋" w:cs="方正仿宋_GBK"/>
          <w:color w:val="000000"/>
          <w:spacing w:val="8"/>
          <w:sz w:val="32"/>
          <w:szCs w:val="32"/>
          <w:shd w:val="clear" w:color="auto" w:fill="FFFFFF"/>
        </w:rPr>
      </w:pPr>
    </w:p>
    <w:p>
      <w:pPr>
        <w:pStyle w:val="5"/>
        <w:widowControl/>
        <w:shd w:val="clear" w:color="auto" w:fill="FFFFFF"/>
        <w:spacing w:beforeAutospacing="0" w:afterAutospacing="0" w:line="520" w:lineRule="exact"/>
        <w:ind w:firstLine="632"/>
        <w:jc w:val="right"/>
        <w:rPr>
          <w:rFonts w:ascii="仿宋" w:hAnsi="仿宋" w:eastAsia="仿宋" w:cs="方正仿宋_GBK"/>
          <w:color w:val="000000"/>
          <w:spacing w:val="8"/>
          <w:sz w:val="32"/>
          <w:szCs w:val="32"/>
          <w:shd w:val="clear" w:color="auto" w:fill="FFFFFF"/>
        </w:rPr>
      </w:pPr>
      <w:r>
        <w:rPr>
          <w:rFonts w:hint="eastAsia" w:ascii="仿宋" w:hAnsi="仿宋" w:eastAsia="仿宋" w:cs="方正仿宋_GBK"/>
          <w:color w:val="000000"/>
          <w:spacing w:val="8"/>
          <w:sz w:val="32"/>
          <w:szCs w:val="32"/>
          <w:shd w:val="clear" w:color="auto" w:fill="FFFFFF"/>
        </w:rPr>
        <w:t>2024年1月26日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E1E8D"/>
    <w:multiLevelType w:val="multilevel"/>
    <w:tmpl w:val="175E1E8D"/>
    <w:lvl w:ilvl="0" w:tentative="0">
      <w:start w:val="1"/>
      <w:numFmt w:val="japaneseCounting"/>
      <w:lvlText w:val="%1、"/>
      <w:lvlJc w:val="left"/>
      <w:pPr>
        <w:ind w:left="1352" w:hanging="720"/>
      </w:pPr>
      <w:rPr>
        <w:rFonts w:hint="default" w:ascii="方正黑体_GBK" w:hAnsi="方正黑体_GBK" w:eastAsia="方正黑体_GBK" w:cs="方正黑体_GBK"/>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abstractNum w:abstractNumId="1">
    <w:nsid w:val="7D3A33E5"/>
    <w:multiLevelType w:val="singleLevel"/>
    <w:tmpl w:val="7D3A33E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yMjNkYWViOThiMWY0ZjIzZTA4ZmU0Mjg0YmNhMzQifQ=="/>
  </w:docVars>
  <w:rsids>
    <w:rsidRoot w:val="00DD0CFD"/>
    <w:rsid w:val="000B7E3B"/>
    <w:rsid w:val="000C76F0"/>
    <w:rsid w:val="00121EFB"/>
    <w:rsid w:val="001246C0"/>
    <w:rsid w:val="00153937"/>
    <w:rsid w:val="001C56A6"/>
    <w:rsid w:val="00234B9D"/>
    <w:rsid w:val="003339EE"/>
    <w:rsid w:val="003E25D0"/>
    <w:rsid w:val="00551CF0"/>
    <w:rsid w:val="00674A5F"/>
    <w:rsid w:val="00687EC9"/>
    <w:rsid w:val="006D7DB0"/>
    <w:rsid w:val="006E1D4F"/>
    <w:rsid w:val="00757156"/>
    <w:rsid w:val="00763761"/>
    <w:rsid w:val="00812994"/>
    <w:rsid w:val="00852A56"/>
    <w:rsid w:val="00867B82"/>
    <w:rsid w:val="00890E16"/>
    <w:rsid w:val="008E390F"/>
    <w:rsid w:val="0093436A"/>
    <w:rsid w:val="00AD7152"/>
    <w:rsid w:val="00B32630"/>
    <w:rsid w:val="00BA29E8"/>
    <w:rsid w:val="00BF2050"/>
    <w:rsid w:val="00C660B1"/>
    <w:rsid w:val="00DD0CFD"/>
    <w:rsid w:val="00E86D92"/>
    <w:rsid w:val="00EF3010"/>
    <w:rsid w:val="00F47618"/>
    <w:rsid w:val="00F57BF0"/>
    <w:rsid w:val="00F707AA"/>
    <w:rsid w:val="00FF1CBC"/>
    <w:rsid w:val="0458352F"/>
    <w:rsid w:val="153918C1"/>
    <w:rsid w:val="1B8A5576"/>
    <w:rsid w:val="1C1847B9"/>
    <w:rsid w:val="34F21EFF"/>
    <w:rsid w:val="6DA919FF"/>
    <w:rsid w:val="71E6312F"/>
    <w:rsid w:val="7ADE0AFD"/>
    <w:rsid w:val="7BCE7D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character" w:customStyle="1" w:styleId="9">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431</Words>
  <Characters>2458</Characters>
  <Lines>20</Lines>
  <Paragraphs>5</Paragraphs>
  <TotalTime>28</TotalTime>
  <ScaleCrop>false</ScaleCrop>
  <LinksUpToDate>false</LinksUpToDate>
  <CharactersWithSpaces>2884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2024-01-18T05:44:00Z</dcterms:created>
  <dc:creator>LENOVO</dc:creator>
  <cp:lastModifiedBy></cp:lastModifiedBy>
  <dcterms:modified xsi:type="dcterms:W3CDTF">2024-02-20T02:04:18Z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2872DC40EA30481D93B95259A9773F97_13</vt:lpwstr>
  </property>
</Properties>
</file>